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2F9A" w14:textId="323DF94F" w:rsidR="00657842" w:rsidRDefault="00657842" w:rsidP="00657842">
      <w:pPr>
        <w:jc w:val="right"/>
      </w:pPr>
      <w:r>
        <w:t xml:space="preserve">ORDER NO. </w:t>
      </w:r>
      <w:r w:rsidR="00146370">
        <w:t>6430</w:t>
      </w:r>
    </w:p>
    <w:p w14:paraId="7A8F27AB" w14:textId="77777777" w:rsidR="00657842" w:rsidRDefault="00657842" w:rsidP="00657842">
      <w:pPr>
        <w:pStyle w:val="NormalLeft"/>
        <w:spacing w:line="240" w:lineRule="auto"/>
        <w:jc w:val="center"/>
      </w:pPr>
    </w:p>
    <w:p w14:paraId="60F1CDB8" w14:textId="77777777" w:rsidR="00657842" w:rsidRDefault="00657842" w:rsidP="00657842">
      <w:pPr>
        <w:pStyle w:val="NormalLeft"/>
        <w:spacing w:line="240" w:lineRule="auto"/>
        <w:jc w:val="center"/>
      </w:pPr>
    </w:p>
    <w:p w14:paraId="376DFCC3" w14:textId="77777777" w:rsidR="00657842" w:rsidRDefault="00657842" w:rsidP="00657842">
      <w:pPr>
        <w:pStyle w:val="NormalLeft"/>
        <w:spacing w:line="240" w:lineRule="auto"/>
        <w:jc w:val="center"/>
      </w:pPr>
    </w:p>
    <w:p w14:paraId="1186946B" w14:textId="77777777" w:rsidR="00657842" w:rsidRPr="00657842" w:rsidRDefault="00657842" w:rsidP="00657842">
      <w:pPr>
        <w:pStyle w:val="NormalLeft"/>
        <w:spacing w:line="240" w:lineRule="auto"/>
        <w:jc w:val="center"/>
        <w:rPr>
          <w:rFonts w:cs="Arial"/>
        </w:rPr>
      </w:pPr>
      <w:r w:rsidRPr="00657842">
        <w:rPr>
          <w:rFonts w:cs="Arial"/>
        </w:rPr>
        <w:t>UNITED STATES OF AMERICA</w:t>
      </w:r>
    </w:p>
    <w:p w14:paraId="72F87C99" w14:textId="77777777" w:rsidR="00657842" w:rsidRPr="00657842" w:rsidRDefault="00657842" w:rsidP="00657842">
      <w:pPr>
        <w:pStyle w:val="NormalLeft"/>
        <w:spacing w:line="240" w:lineRule="auto"/>
        <w:jc w:val="center"/>
        <w:rPr>
          <w:rFonts w:cs="Arial"/>
        </w:rPr>
      </w:pPr>
      <w:r w:rsidRPr="00657842">
        <w:rPr>
          <w:rFonts w:cs="Arial"/>
        </w:rPr>
        <w:t>POSTAL REGULATORY COMMISSION</w:t>
      </w:r>
    </w:p>
    <w:p w14:paraId="41D0EE78" w14:textId="77777777" w:rsidR="00657842" w:rsidRPr="00657842" w:rsidRDefault="00657842" w:rsidP="00657842">
      <w:pPr>
        <w:pStyle w:val="NormalLeft"/>
        <w:spacing w:line="240" w:lineRule="auto"/>
        <w:jc w:val="center"/>
        <w:rPr>
          <w:rFonts w:cs="Arial"/>
        </w:rPr>
      </w:pPr>
      <w:r w:rsidRPr="00657842">
        <w:rPr>
          <w:rFonts w:cs="Arial"/>
        </w:rPr>
        <w:t>WASHINGTON, DC 20268-0001</w:t>
      </w:r>
    </w:p>
    <w:p w14:paraId="07595939" w14:textId="77777777" w:rsidR="00657842" w:rsidRPr="00657842" w:rsidRDefault="00657842" w:rsidP="00657842">
      <w:pPr>
        <w:pStyle w:val="NormalLeft"/>
        <w:spacing w:line="240" w:lineRule="auto"/>
        <w:jc w:val="center"/>
        <w:rPr>
          <w:rFonts w:cs="Arial"/>
        </w:rPr>
      </w:pPr>
    </w:p>
    <w:p w14:paraId="09C09B34" w14:textId="77777777" w:rsidR="00657842" w:rsidRPr="00657842" w:rsidRDefault="00657842" w:rsidP="00657842">
      <w:pPr>
        <w:pStyle w:val="NormalLeft"/>
        <w:spacing w:line="240" w:lineRule="auto"/>
        <w:jc w:val="center"/>
        <w:rPr>
          <w:rFonts w:cs="Arial"/>
        </w:rPr>
      </w:pPr>
    </w:p>
    <w:p w14:paraId="3D0ED5E9" w14:textId="77777777" w:rsidR="00657842" w:rsidRPr="00657842" w:rsidRDefault="00657842" w:rsidP="00657842">
      <w:pPr>
        <w:pStyle w:val="NormalLeft"/>
        <w:spacing w:line="240" w:lineRule="auto"/>
        <w:jc w:val="center"/>
        <w:rPr>
          <w:rFonts w:cs="Arial"/>
        </w:rPr>
      </w:pPr>
    </w:p>
    <w:p w14:paraId="7D311213" w14:textId="77777777" w:rsidR="0071218F" w:rsidRPr="0071218F" w:rsidRDefault="0071218F" w:rsidP="0071218F">
      <w:pPr>
        <w:spacing w:line="240" w:lineRule="auto"/>
        <w:ind w:left="5040" w:hanging="5040"/>
        <w:rPr>
          <w:rFonts w:cs="Times New Roman"/>
          <w:bCs w:val="0"/>
          <w:iCs/>
          <w:kern w:val="0"/>
        </w:rPr>
      </w:pPr>
      <w:r w:rsidRPr="0071218F">
        <w:rPr>
          <w:bCs w:val="0"/>
          <w:iCs/>
          <w:kern w:val="0"/>
        </w:rPr>
        <w:t>Before Commissioners:</w:t>
      </w:r>
      <w:r w:rsidRPr="0071218F">
        <w:rPr>
          <w:bCs w:val="0"/>
          <w:iCs/>
          <w:kern w:val="0"/>
        </w:rPr>
        <w:tab/>
      </w:r>
      <w:r w:rsidRPr="0071218F">
        <w:rPr>
          <w:rFonts w:cs="Times New Roman"/>
          <w:bCs w:val="0"/>
          <w:kern w:val="0"/>
        </w:rPr>
        <w:t>Michael Kubayanda</w:t>
      </w:r>
      <w:r w:rsidRPr="0071218F">
        <w:rPr>
          <w:rFonts w:cs="Times New Roman"/>
          <w:bCs w:val="0"/>
          <w:iCs/>
          <w:kern w:val="0"/>
        </w:rPr>
        <w:t xml:space="preserve">, </w:t>
      </w:r>
      <w:proofErr w:type="gramStart"/>
      <w:r w:rsidRPr="0071218F">
        <w:rPr>
          <w:rFonts w:cs="Times New Roman"/>
          <w:bCs w:val="0"/>
          <w:iCs/>
          <w:kern w:val="0"/>
        </w:rPr>
        <w:t>Chairman;</w:t>
      </w:r>
      <w:proofErr w:type="gramEnd"/>
    </w:p>
    <w:p w14:paraId="5E8F5936" w14:textId="26E718FC" w:rsidR="0071218F" w:rsidRPr="00BE6EEA" w:rsidRDefault="00BE6EEA" w:rsidP="0071218F">
      <w:pPr>
        <w:spacing w:line="240" w:lineRule="auto"/>
        <w:ind w:left="5040" w:firstLine="0"/>
        <w:rPr>
          <w:rFonts w:cs="Times New Roman"/>
          <w:iCs/>
          <w:kern w:val="0"/>
        </w:rPr>
      </w:pPr>
      <w:r w:rsidRPr="00BE6EEA">
        <w:rPr>
          <w:rFonts w:cs="Times New Roman"/>
          <w:bCs w:val="0"/>
          <w:iCs/>
          <w:kern w:val="0"/>
        </w:rPr>
        <w:t>Mark Acton</w:t>
      </w:r>
      <w:r w:rsidR="00826280" w:rsidRPr="00BE6EEA">
        <w:rPr>
          <w:rFonts w:cs="Times New Roman"/>
          <w:bCs w:val="0"/>
          <w:iCs/>
          <w:kern w:val="0"/>
        </w:rPr>
        <w:t xml:space="preserve">, Vice </w:t>
      </w:r>
      <w:proofErr w:type="gramStart"/>
      <w:r w:rsidR="00826280" w:rsidRPr="00BE6EEA">
        <w:rPr>
          <w:rFonts w:cs="Times New Roman"/>
          <w:bCs w:val="0"/>
          <w:iCs/>
          <w:kern w:val="0"/>
        </w:rPr>
        <w:t>Chair</w:t>
      </w:r>
      <w:r w:rsidR="0071218F" w:rsidRPr="00BE6EEA">
        <w:rPr>
          <w:rFonts w:cs="Times New Roman"/>
          <w:bCs w:val="0"/>
          <w:iCs/>
          <w:kern w:val="0"/>
        </w:rPr>
        <w:t>man;</w:t>
      </w:r>
      <w:proofErr w:type="gramEnd"/>
    </w:p>
    <w:p w14:paraId="3C5E65A0" w14:textId="0AB642A8" w:rsidR="0071218F" w:rsidRPr="00BE6EEA" w:rsidRDefault="00BE6EEA" w:rsidP="0071218F">
      <w:pPr>
        <w:spacing w:line="240" w:lineRule="auto"/>
        <w:ind w:left="5040" w:firstLine="0"/>
        <w:rPr>
          <w:rFonts w:cs="Times New Roman"/>
          <w:iCs/>
          <w:kern w:val="0"/>
        </w:rPr>
      </w:pPr>
      <w:r w:rsidRPr="00BE6EEA">
        <w:rPr>
          <w:rFonts w:cs="Times New Roman"/>
          <w:bCs w:val="0"/>
          <w:iCs/>
          <w:kern w:val="0"/>
        </w:rPr>
        <w:t xml:space="preserve">Ann C. </w:t>
      </w:r>
      <w:proofErr w:type="gramStart"/>
      <w:r w:rsidRPr="00BE6EEA">
        <w:rPr>
          <w:rFonts w:cs="Times New Roman"/>
          <w:bCs w:val="0"/>
          <w:iCs/>
          <w:kern w:val="0"/>
        </w:rPr>
        <w:t>Fisher</w:t>
      </w:r>
      <w:r w:rsidR="0071218F" w:rsidRPr="00BE6EEA">
        <w:rPr>
          <w:rFonts w:cs="Times New Roman"/>
          <w:bCs w:val="0"/>
          <w:iCs/>
          <w:kern w:val="0"/>
        </w:rPr>
        <w:t>;</w:t>
      </w:r>
      <w:proofErr w:type="gramEnd"/>
    </w:p>
    <w:p w14:paraId="0C6D9261" w14:textId="77777777" w:rsidR="0071218F" w:rsidRPr="00BE6EEA" w:rsidRDefault="00826280" w:rsidP="0071218F">
      <w:pPr>
        <w:spacing w:line="240" w:lineRule="auto"/>
        <w:ind w:left="5040" w:firstLine="0"/>
        <w:rPr>
          <w:rFonts w:cs="Times New Roman"/>
          <w:bCs w:val="0"/>
          <w:iCs/>
          <w:kern w:val="0"/>
        </w:rPr>
      </w:pPr>
      <w:r w:rsidRPr="00BE6EEA">
        <w:rPr>
          <w:rFonts w:cs="Times New Roman"/>
          <w:bCs w:val="0"/>
          <w:iCs/>
          <w:kern w:val="0"/>
        </w:rPr>
        <w:t>Ashley E. Poling</w:t>
      </w:r>
      <w:r w:rsidR="0071218F" w:rsidRPr="00BE6EEA">
        <w:rPr>
          <w:rFonts w:cs="Times New Roman"/>
          <w:bCs w:val="0"/>
          <w:iCs/>
          <w:kern w:val="0"/>
        </w:rPr>
        <w:t>; and</w:t>
      </w:r>
    </w:p>
    <w:p w14:paraId="62955240" w14:textId="77777777" w:rsidR="0071218F" w:rsidRPr="0071218F" w:rsidRDefault="0071218F" w:rsidP="0071218F">
      <w:pPr>
        <w:spacing w:line="240" w:lineRule="auto"/>
        <w:ind w:left="4320"/>
        <w:rPr>
          <w:rFonts w:cs="Times New Roman"/>
          <w:iCs/>
          <w:kern w:val="0"/>
        </w:rPr>
      </w:pPr>
      <w:r w:rsidRPr="00BE6EEA">
        <w:rPr>
          <w:rFonts w:cs="Times New Roman"/>
          <w:iCs/>
          <w:kern w:val="0"/>
        </w:rPr>
        <w:t>Robert G. Taub</w:t>
      </w:r>
    </w:p>
    <w:p w14:paraId="1581583D" w14:textId="77777777" w:rsidR="00DD0BD6" w:rsidRDefault="00DD0BD6" w:rsidP="00DD0BD6">
      <w:pPr>
        <w:pStyle w:val="NormalLeft"/>
        <w:spacing w:line="240" w:lineRule="auto"/>
        <w:rPr>
          <w:rFonts w:cs="Arial"/>
        </w:rPr>
      </w:pPr>
    </w:p>
    <w:p w14:paraId="1E22E0B9" w14:textId="77777777" w:rsidR="00657842" w:rsidRPr="00657842" w:rsidRDefault="00657842" w:rsidP="00657842">
      <w:pPr>
        <w:pStyle w:val="NormalLeft"/>
        <w:spacing w:line="240" w:lineRule="auto"/>
        <w:rPr>
          <w:rFonts w:cs="Arial"/>
        </w:rPr>
      </w:pPr>
    </w:p>
    <w:p w14:paraId="3B13D467" w14:textId="77777777" w:rsidR="00657842" w:rsidRPr="00657842" w:rsidRDefault="00657842" w:rsidP="00657842">
      <w:pPr>
        <w:pStyle w:val="NormalLeft"/>
        <w:spacing w:line="240" w:lineRule="auto"/>
        <w:rPr>
          <w:rFonts w:cs="Arial"/>
        </w:rPr>
      </w:pPr>
    </w:p>
    <w:p w14:paraId="02C839EE" w14:textId="4C15F731" w:rsidR="002D6EF0" w:rsidRDefault="003C2426" w:rsidP="002D6EF0">
      <w:pPr>
        <w:pStyle w:val="NormalLeft"/>
        <w:tabs>
          <w:tab w:val="left" w:pos="6660"/>
        </w:tabs>
        <w:spacing w:line="240" w:lineRule="auto"/>
      </w:pPr>
      <w:r>
        <w:t>Costing Treatment of</w:t>
      </w:r>
      <w:r w:rsidR="002D6EF0">
        <w:tab/>
        <w:t>Docket No.</w:t>
      </w:r>
      <w:r w:rsidR="003F28D6">
        <w:t xml:space="preserve"> RM202</w:t>
      </w:r>
      <w:r>
        <w:t>3-1</w:t>
      </w:r>
    </w:p>
    <w:p w14:paraId="6AAA4DD0" w14:textId="32CD55FE" w:rsidR="003F28D6" w:rsidRDefault="003C2426" w:rsidP="002D6EF0">
      <w:pPr>
        <w:pStyle w:val="NormalLeft"/>
        <w:tabs>
          <w:tab w:val="left" w:pos="6660"/>
        </w:tabs>
        <w:spacing w:line="240" w:lineRule="auto"/>
      </w:pPr>
      <w:r>
        <w:t>Retirement Debt Relief</w:t>
      </w:r>
    </w:p>
    <w:p w14:paraId="0A68CBA4" w14:textId="7159084D" w:rsidR="00AB4E9E" w:rsidRDefault="00AB4E9E" w:rsidP="002D6EF0">
      <w:pPr>
        <w:pStyle w:val="NormalLeft"/>
        <w:tabs>
          <w:tab w:val="left" w:pos="6660"/>
        </w:tabs>
        <w:spacing w:line="240" w:lineRule="auto"/>
      </w:pPr>
    </w:p>
    <w:p w14:paraId="7FA054E0" w14:textId="2578AD22" w:rsidR="00AB4E9E" w:rsidRDefault="00476C07" w:rsidP="002D6EF0">
      <w:pPr>
        <w:pStyle w:val="NormalLeft"/>
        <w:tabs>
          <w:tab w:val="left" w:pos="6660"/>
        </w:tabs>
        <w:spacing w:line="240" w:lineRule="auto"/>
      </w:pPr>
      <w:r>
        <w:t>Periodic Reporting</w:t>
      </w:r>
      <w:r>
        <w:tab/>
        <w:t>Docket No. RM2023-3</w:t>
      </w:r>
    </w:p>
    <w:p w14:paraId="2196C7F9" w14:textId="347E02D1" w:rsidR="00476C07" w:rsidRDefault="00476C07" w:rsidP="002D6EF0">
      <w:pPr>
        <w:pStyle w:val="NormalLeft"/>
        <w:tabs>
          <w:tab w:val="left" w:pos="6660"/>
        </w:tabs>
        <w:spacing w:line="240" w:lineRule="auto"/>
      </w:pPr>
      <w:r>
        <w:t>(</w:t>
      </w:r>
      <w:r w:rsidR="007A12CC">
        <w:t xml:space="preserve">NPPC </w:t>
      </w:r>
      <w:r w:rsidR="00D57199">
        <w:t>et al.</w:t>
      </w:r>
      <w:r w:rsidR="003C4B8F">
        <w:t xml:space="preserve"> </w:t>
      </w:r>
      <w:r>
        <w:t xml:space="preserve">Proposal </w:t>
      </w:r>
      <w:r w:rsidR="003C4B8F">
        <w:t>One</w:t>
      </w:r>
      <w:r>
        <w:t>)</w:t>
      </w:r>
    </w:p>
    <w:p w14:paraId="56631003" w14:textId="29FD74B0" w:rsidR="00657842" w:rsidRDefault="00657842" w:rsidP="00657842">
      <w:pPr>
        <w:pStyle w:val="NormalLeft"/>
        <w:spacing w:line="240" w:lineRule="auto"/>
        <w:jc w:val="center"/>
      </w:pPr>
    </w:p>
    <w:p w14:paraId="316A37E8" w14:textId="77777777" w:rsidR="00657842" w:rsidRDefault="00657842" w:rsidP="00657842">
      <w:pPr>
        <w:pStyle w:val="NormalLeft"/>
        <w:spacing w:line="240" w:lineRule="auto"/>
        <w:jc w:val="center"/>
      </w:pPr>
    </w:p>
    <w:p w14:paraId="52EF9094" w14:textId="77777777" w:rsidR="00657842" w:rsidRDefault="00657842" w:rsidP="00657842">
      <w:pPr>
        <w:pStyle w:val="NormalLeft"/>
        <w:spacing w:line="240" w:lineRule="auto"/>
        <w:jc w:val="center"/>
      </w:pPr>
    </w:p>
    <w:p w14:paraId="15C581AE" w14:textId="51711FB1" w:rsidR="00657842" w:rsidRDefault="00F972FB" w:rsidP="646327FE">
      <w:pPr>
        <w:pStyle w:val="NormalLeft"/>
        <w:spacing w:line="240" w:lineRule="auto"/>
        <w:jc w:val="center"/>
      </w:pPr>
      <w:r>
        <w:t>O</w:t>
      </w:r>
      <w:r w:rsidR="003C2426">
        <w:t xml:space="preserve">RDER </w:t>
      </w:r>
      <w:r w:rsidR="009D05C1" w:rsidRPr="00BE6EEA">
        <w:t xml:space="preserve">DENYING </w:t>
      </w:r>
      <w:r w:rsidR="00996BF0" w:rsidRPr="00BE6EEA">
        <w:t>REQUEST FOR RECONSIDERATION</w:t>
      </w:r>
      <w:r w:rsidR="00996BF0">
        <w:t xml:space="preserve"> AND NOTICE OF PROPOSED RULEMAKING ON ANALYTICAL PRINCIPLES USED IN PERIODIC</w:t>
      </w:r>
      <w:r w:rsidR="00D16DD1">
        <w:t xml:space="preserve"> REPORTING (</w:t>
      </w:r>
      <w:r w:rsidR="00321908">
        <w:t xml:space="preserve">NPPC ET AL. </w:t>
      </w:r>
      <w:r w:rsidR="00D16DD1">
        <w:t xml:space="preserve">PROPOSAL </w:t>
      </w:r>
      <w:r w:rsidR="00321908">
        <w:t>ONE</w:t>
      </w:r>
      <w:r w:rsidR="00D16DD1">
        <w:t>)</w:t>
      </w:r>
    </w:p>
    <w:p w14:paraId="550CBA17" w14:textId="77777777" w:rsidR="00657842" w:rsidRDefault="00657842" w:rsidP="00657842">
      <w:pPr>
        <w:pStyle w:val="NormalLeft"/>
        <w:spacing w:line="240" w:lineRule="auto"/>
        <w:jc w:val="center"/>
      </w:pPr>
    </w:p>
    <w:p w14:paraId="0B905381" w14:textId="77777777" w:rsidR="00A568C6" w:rsidRDefault="00A568C6" w:rsidP="00657842">
      <w:pPr>
        <w:pStyle w:val="NormalLeft"/>
        <w:spacing w:line="240" w:lineRule="auto"/>
        <w:jc w:val="center"/>
      </w:pPr>
    </w:p>
    <w:p w14:paraId="467964B0" w14:textId="0655A727" w:rsidR="00F972FB" w:rsidRDefault="00826280" w:rsidP="00657842">
      <w:pPr>
        <w:pStyle w:val="NormalLeft"/>
        <w:spacing w:line="240" w:lineRule="auto"/>
        <w:jc w:val="center"/>
      </w:pPr>
      <w:r>
        <w:t>(</w:t>
      </w:r>
      <w:r w:rsidR="00674F41">
        <w:t xml:space="preserve">Issued </w:t>
      </w:r>
      <w:r w:rsidR="008C2EA4">
        <w:t xml:space="preserve">January </w:t>
      </w:r>
      <w:r w:rsidR="00146370">
        <w:t>25</w:t>
      </w:r>
      <w:r>
        <w:t>, 202</w:t>
      </w:r>
      <w:r w:rsidR="00A14CCB">
        <w:t>3</w:t>
      </w:r>
      <w:r w:rsidR="00657842">
        <w:t>)</w:t>
      </w:r>
    </w:p>
    <w:p w14:paraId="06875A8A" w14:textId="7192634D" w:rsidR="00267393" w:rsidRDefault="00267393" w:rsidP="00A83D34">
      <w:pPr>
        <w:pStyle w:val="Heading1"/>
        <w:numPr>
          <w:ilvl w:val="0"/>
          <w:numId w:val="16"/>
        </w:numPr>
        <w:ind w:left="720"/>
      </w:pPr>
      <w:r>
        <w:t>INTRODUCTION</w:t>
      </w:r>
    </w:p>
    <w:p w14:paraId="167D97BF" w14:textId="32260F5C" w:rsidR="009A218A" w:rsidRDefault="00641997" w:rsidP="00F031D3">
      <w:r>
        <w:t xml:space="preserve">On December 9, 2022, the Commission issued Order No. 6363, which, in relevant part, identified </w:t>
      </w:r>
      <w:r w:rsidR="00540AB9">
        <w:t xml:space="preserve">how </w:t>
      </w:r>
      <w:r>
        <w:t xml:space="preserve">the </w:t>
      </w:r>
      <w:r w:rsidR="00A13CA4">
        <w:t>accepted</w:t>
      </w:r>
      <w:r>
        <w:t xml:space="preserve"> </w:t>
      </w:r>
      <w:r w:rsidR="00942FCE">
        <w:t>analytical principle</w:t>
      </w:r>
      <w:r w:rsidR="005339FC">
        <w:t>s</w:t>
      </w:r>
      <w:r>
        <w:t xml:space="preserve"> </w:t>
      </w:r>
      <w:r w:rsidR="0099521F">
        <w:t>would apply</w:t>
      </w:r>
      <w:r>
        <w:t xml:space="preserve"> to the treatment of </w:t>
      </w:r>
      <w:r w:rsidR="00C1726B">
        <w:t xml:space="preserve">retiree health benefit </w:t>
      </w:r>
      <w:r>
        <w:t xml:space="preserve">normal costs </w:t>
      </w:r>
      <w:r w:rsidR="0099521F">
        <w:t xml:space="preserve">in </w:t>
      </w:r>
      <w:r w:rsidR="00803C69">
        <w:t>fiscal year (</w:t>
      </w:r>
      <w:r w:rsidR="0099521F">
        <w:t>FY</w:t>
      </w:r>
      <w:r w:rsidR="00803C69">
        <w:t>)</w:t>
      </w:r>
      <w:r w:rsidR="0099521F">
        <w:t xml:space="preserve"> 2022</w:t>
      </w:r>
      <w:r>
        <w:t>.</w:t>
      </w:r>
      <w:r>
        <w:rPr>
          <w:rStyle w:val="FootnoteReference"/>
        </w:rPr>
        <w:footnoteReference w:id="2"/>
      </w:r>
      <w:r>
        <w:t xml:space="preserve">  The Commission stated that should any party “desire the Commission rely on a different </w:t>
      </w:r>
      <w:r>
        <w:lastRenderedPageBreak/>
        <w:t xml:space="preserve">analytical principle with regard to the </w:t>
      </w:r>
      <w:r w:rsidR="00741999">
        <w:t>. . .</w:t>
      </w:r>
      <w:r>
        <w:t xml:space="preserve"> normal cost payments . . . , [it] may petition the Commission for a change pursuant to 39 </w:t>
      </w:r>
      <w:r w:rsidR="008F08EA">
        <w:t>[</w:t>
      </w:r>
      <w:r>
        <w:t>CFR</w:t>
      </w:r>
      <w:r w:rsidR="008F08EA">
        <w:t>]</w:t>
      </w:r>
      <w:r>
        <w:t xml:space="preserve"> part 3050.”  Order No. 6363 at 11.  </w:t>
      </w:r>
      <w:r w:rsidR="00AB775A">
        <w:t xml:space="preserve">On December 19, 2022, </w:t>
      </w:r>
      <w:r w:rsidR="0058474B">
        <w:t>the National Postal Policy Council, the Alliance of Nonprofit Mailers, the American Catalog Mailers Association, the Association for Postal Commerce, the Major Mailers Association, the National Association of Presort Mailers, and N/MA – The News/Media Alliance (Mailers) filed a motion requesting reconsideration of Order No. 6363, or in the alternative, adoption of a petition to change the analytical principle</w:t>
      </w:r>
      <w:r w:rsidR="00C96C7E">
        <w:t>s</w:t>
      </w:r>
      <w:r w:rsidR="0058474B">
        <w:t xml:space="preserve"> applied to</w:t>
      </w:r>
      <w:r w:rsidR="003D4B57">
        <w:t xml:space="preserve"> the</w:t>
      </w:r>
      <w:r w:rsidR="0058474B">
        <w:t xml:space="preserve"> FY 2022 retiree health benefit normal costs.</w:t>
      </w:r>
      <w:r w:rsidR="0058474B">
        <w:rPr>
          <w:rStyle w:val="FootnoteReference"/>
        </w:rPr>
        <w:footnoteReference w:id="3"/>
      </w:r>
      <w:r w:rsidR="002621C6">
        <w:t xml:space="preserve">  For the reasons discussed below, </w:t>
      </w:r>
      <w:r w:rsidR="00EB3D78">
        <w:t xml:space="preserve">the Commission </w:t>
      </w:r>
      <w:r w:rsidR="00C361C6">
        <w:t xml:space="preserve">reaffirms the </w:t>
      </w:r>
      <w:r w:rsidR="00754426">
        <w:t>applicable findings in</w:t>
      </w:r>
      <w:r w:rsidR="00200E70">
        <w:t xml:space="preserve"> Order No. 6363</w:t>
      </w:r>
      <w:r w:rsidR="0091110C">
        <w:t xml:space="preserve"> and provides notice of its intent to consider the Mailers’ petition </w:t>
      </w:r>
      <w:r w:rsidR="009D05C1">
        <w:t>to change the analytical principle</w:t>
      </w:r>
      <w:r w:rsidR="00934AB6">
        <w:t>s</w:t>
      </w:r>
      <w:r w:rsidR="009D05C1">
        <w:t xml:space="preserve"> applied to</w:t>
      </w:r>
      <w:r w:rsidR="00055148">
        <w:t xml:space="preserve"> the</w:t>
      </w:r>
      <w:r w:rsidR="009D05C1">
        <w:t xml:space="preserve"> FY 2022 retiree health benefit normal costs.</w:t>
      </w:r>
    </w:p>
    <w:p w14:paraId="6D1C96E7" w14:textId="089FC3DD" w:rsidR="009A218A" w:rsidRDefault="009A218A" w:rsidP="00A83D34">
      <w:pPr>
        <w:pStyle w:val="Heading1"/>
        <w:numPr>
          <w:ilvl w:val="0"/>
          <w:numId w:val="16"/>
        </w:numPr>
        <w:ind w:left="720"/>
      </w:pPr>
      <w:r>
        <w:t>BACKGROUND</w:t>
      </w:r>
    </w:p>
    <w:p w14:paraId="2FABEC4E" w14:textId="40E14789" w:rsidR="000E49F0" w:rsidRDefault="000E49F0" w:rsidP="00865E8C">
      <w:r>
        <w:t>In its annua</w:t>
      </w:r>
      <w:r w:rsidR="007E2A4B">
        <w:t xml:space="preserve">l periodic reports to the Commission, the Postal </w:t>
      </w:r>
      <w:r w:rsidR="00215667">
        <w:t xml:space="preserve">Service </w:t>
      </w:r>
      <w:r w:rsidR="004760D5">
        <w:t>is permitted to</w:t>
      </w:r>
      <w:r w:rsidR="007E2A4B">
        <w:t xml:space="preserve"> use only accepted analytical principles.  39 C</w:t>
      </w:r>
      <w:r w:rsidR="00326972">
        <w:t>FR</w:t>
      </w:r>
      <w:r w:rsidR="007E2A4B">
        <w:t xml:space="preserve"> 3050.10</w:t>
      </w:r>
      <w:r w:rsidR="00E916AF">
        <w:t>.  Accepted analytical principles refer to the analytical principles that were applied by the Commission in its most recent Annual Compliance Determination (ACD)</w:t>
      </w:r>
      <w:r w:rsidR="00F3339C">
        <w:t xml:space="preserve"> unless different analytical principle</w:t>
      </w:r>
      <w:r w:rsidR="0068019F">
        <w:t>s</w:t>
      </w:r>
      <w:r w:rsidR="00F3339C">
        <w:t xml:space="preserve"> subsequently </w:t>
      </w:r>
      <w:r w:rsidR="0068019F">
        <w:t xml:space="preserve">were </w:t>
      </w:r>
      <w:r w:rsidR="00F3339C">
        <w:t xml:space="preserve">accepted by the Commission in a final rule.  39 </w:t>
      </w:r>
      <w:r w:rsidR="00326972">
        <w:t>CFR</w:t>
      </w:r>
      <w:r w:rsidR="00F3339C">
        <w:t xml:space="preserve"> 3050.1(a).</w:t>
      </w:r>
    </w:p>
    <w:p w14:paraId="050143B6" w14:textId="7FED19DB" w:rsidR="000009C8" w:rsidRDefault="000009C8" w:rsidP="000009C8">
      <w:r>
        <w:t>Retiree health benefit normal costs represent the present value of the estimated retiree health benefits attributable to active employees’ current year of service.</w:t>
      </w:r>
      <w:r>
        <w:rPr>
          <w:rStyle w:val="FootnoteReference"/>
        </w:rPr>
        <w:footnoteReference w:id="4"/>
      </w:r>
      <w:r w:rsidR="00F542D8">
        <w:t xml:space="preserve">  </w:t>
      </w:r>
      <w:r w:rsidR="00741954">
        <w:lastRenderedPageBreak/>
        <w:t>Betwee</w:t>
      </w:r>
      <w:r w:rsidR="00721270">
        <w:t>n</w:t>
      </w:r>
      <w:r w:rsidR="00737BEB">
        <w:t xml:space="preserve"> FY 2017</w:t>
      </w:r>
      <w:r w:rsidR="00721270">
        <w:t xml:space="preserve"> and FY 2021</w:t>
      </w:r>
      <w:r w:rsidR="00737BEB">
        <w:t xml:space="preserve">, the Postal Service was </w:t>
      </w:r>
      <w:r w:rsidR="004E3774">
        <w:t xml:space="preserve">required to </w:t>
      </w:r>
      <w:r w:rsidR="00520FD1">
        <w:t>pay</w:t>
      </w:r>
      <w:r w:rsidR="004E3774">
        <w:t xml:space="preserve"> </w:t>
      </w:r>
      <w:r w:rsidR="0037087A">
        <w:t xml:space="preserve">retiree health benefit normal costs and </w:t>
      </w:r>
      <w:r w:rsidR="00520FD1">
        <w:t xml:space="preserve">amortization </w:t>
      </w:r>
      <w:r w:rsidR="00520FD1" w:rsidRPr="00F93C08">
        <w:t xml:space="preserve">payments </w:t>
      </w:r>
      <w:r w:rsidR="00520FD1">
        <w:t xml:space="preserve">for the </w:t>
      </w:r>
      <w:r w:rsidR="00520FD1" w:rsidRPr="00EE26BB">
        <w:t xml:space="preserve">unfunded portion of the </w:t>
      </w:r>
      <w:r w:rsidR="00B63A7D">
        <w:t>Postal Service Retiree Health Benefit Fund (</w:t>
      </w:r>
      <w:r w:rsidR="00520FD1">
        <w:t>PS</w:t>
      </w:r>
      <w:r w:rsidR="00520FD1" w:rsidRPr="00EE26BB">
        <w:t>RHBF</w:t>
      </w:r>
      <w:r w:rsidR="00B63A7D">
        <w:t>)</w:t>
      </w:r>
      <w:r w:rsidR="00520FD1" w:rsidRPr="00EE26BB">
        <w:t xml:space="preserve"> </w:t>
      </w:r>
      <w:r w:rsidR="00520FD1">
        <w:t xml:space="preserve">obligation </w:t>
      </w:r>
      <w:r w:rsidR="00AF1271">
        <w:t>as calculated by the Office</w:t>
      </w:r>
      <w:r w:rsidR="00D97036">
        <w:t xml:space="preserve"> of Personnel Management (OPM)</w:t>
      </w:r>
      <w:r w:rsidR="004E3774">
        <w:t>.</w:t>
      </w:r>
      <w:r w:rsidR="00E92347">
        <w:rPr>
          <w:rStyle w:val="FootnoteReference"/>
        </w:rPr>
        <w:footnoteReference w:id="5"/>
      </w:r>
      <w:r>
        <w:t xml:space="preserve">  On April 6, 2022, President </w:t>
      </w:r>
      <w:r w:rsidR="523FC456">
        <w:t>Jo</w:t>
      </w:r>
      <w:r w:rsidR="00F06194">
        <w:t>s</w:t>
      </w:r>
      <w:r w:rsidR="523FC456">
        <w:t>e</w:t>
      </w:r>
      <w:r w:rsidR="00F06194">
        <w:t>ph</w:t>
      </w:r>
      <w:r w:rsidR="523FC456">
        <w:t xml:space="preserve"> </w:t>
      </w:r>
      <w:r>
        <w:t>Biden signed the Postal Service Reform Act (PSRA)</w:t>
      </w:r>
      <w:r w:rsidR="00493388">
        <w:t xml:space="preserve"> into law</w:t>
      </w:r>
      <w:r w:rsidR="00FF43DB">
        <w:t>.</w:t>
      </w:r>
      <w:r w:rsidR="00FF43DB">
        <w:rPr>
          <w:rStyle w:val="FootnoteReference"/>
        </w:rPr>
        <w:footnoteReference w:id="6"/>
      </w:r>
      <w:r w:rsidR="00FF43DB">
        <w:t xml:space="preserve">  Section 102 of the PSRA</w:t>
      </w:r>
      <w:r w:rsidR="00D97036">
        <w:t xml:space="preserve"> repealed former 5 U.S.C. </w:t>
      </w:r>
      <w:r w:rsidR="0044524F">
        <w:t>8909a(d)</w:t>
      </w:r>
      <w:r w:rsidR="007E7F89">
        <w:t>, thus eliminating</w:t>
      </w:r>
      <w:r>
        <w:t xml:space="preserve"> the </w:t>
      </w:r>
      <w:r w:rsidR="004C499C">
        <w:t xml:space="preserve">required </w:t>
      </w:r>
      <w:r>
        <w:t>annual</w:t>
      </w:r>
      <w:r w:rsidR="004C499C">
        <w:t xml:space="preserve"> retiree health benefit</w:t>
      </w:r>
      <w:r>
        <w:t xml:space="preserve"> payments.  </w:t>
      </w:r>
      <w:r w:rsidR="009D0447">
        <w:t xml:space="preserve">Under the requirements of the PSRA, </w:t>
      </w:r>
      <w:r w:rsidR="007415B7">
        <w:t xml:space="preserve">the </w:t>
      </w:r>
      <w:r w:rsidR="00B7292E">
        <w:t xml:space="preserve">Postal Service </w:t>
      </w:r>
      <w:r w:rsidR="00F20A1B">
        <w:t>will</w:t>
      </w:r>
      <w:r w:rsidR="00931742">
        <w:t xml:space="preserve"> </w:t>
      </w:r>
      <w:r w:rsidR="00D20FD7">
        <w:t>instead</w:t>
      </w:r>
      <w:r w:rsidR="00F20A1B">
        <w:t xml:space="preserve"> be</w:t>
      </w:r>
      <w:r w:rsidR="00D20FD7">
        <w:t xml:space="preserve"> </w:t>
      </w:r>
      <w:r w:rsidR="00931742">
        <w:t xml:space="preserve">required to pay into the PSRHBF for current retiree health care costs equal to </w:t>
      </w:r>
      <w:r w:rsidR="449B9BA3">
        <w:t xml:space="preserve">the excess of </w:t>
      </w:r>
      <w:r w:rsidR="00931742">
        <w:t xml:space="preserve">the cost of annual claims </w:t>
      </w:r>
      <w:r w:rsidR="08BCE63C">
        <w:t>over premiums</w:t>
      </w:r>
      <w:r w:rsidR="00931742">
        <w:t>.</w:t>
      </w:r>
      <w:r>
        <w:t xml:space="preserve">  </w:t>
      </w:r>
      <w:r w:rsidR="002E05B7">
        <w:t xml:space="preserve">The Postal Service will not, however, </w:t>
      </w:r>
      <w:r w:rsidR="00847FD2">
        <w:t xml:space="preserve">be required to make these payments </w:t>
      </w:r>
      <w:r w:rsidR="002E05B7">
        <w:t xml:space="preserve">until </w:t>
      </w:r>
      <w:r w:rsidR="004700CA">
        <w:t>OPM computes</w:t>
      </w:r>
      <w:r w:rsidR="00580A1E">
        <w:t xml:space="preserve"> whether</w:t>
      </w:r>
      <w:r w:rsidR="004700CA">
        <w:t xml:space="preserve"> “top up</w:t>
      </w:r>
      <w:r w:rsidR="00800179">
        <w:t>” payment</w:t>
      </w:r>
      <w:r w:rsidR="00580A1E">
        <w:t>s</w:t>
      </w:r>
      <w:r w:rsidR="00800179">
        <w:t xml:space="preserve"> </w:t>
      </w:r>
      <w:r w:rsidR="00580A1E">
        <w:t>are</w:t>
      </w:r>
      <w:r w:rsidR="00800179">
        <w:t xml:space="preserve"> due (which will occur not later than June 30, 2026)</w:t>
      </w:r>
      <w:r w:rsidR="009A6BCD">
        <w:t xml:space="preserve"> or the PSRHBF is exhausted</w:t>
      </w:r>
      <w:r w:rsidR="000D7340">
        <w:t>.</w:t>
      </w:r>
      <w:r w:rsidR="00536551">
        <w:t xml:space="preserve"> </w:t>
      </w:r>
      <w:r w:rsidR="00AC2F3F">
        <w:t xml:space="preserve"> </w:t>
      </w:r>
      <w:r w:rsidR="00536551">
        <w:t>Th</w:t>
      </w:r>
      <w:r w:rsidR="00564C37">
        <w:t xml:space="preserve">us, no retiree health benefit payments </w:t>
      </w:r>
      <w:r w:rsidR="00994B40">
        <w:t>we</w:t>
      </w:r>
      <w:r w:rsidR="00564C37">
        <w:t xml:space="preserve">re </w:t>
      </w:r>
      <w:r w:rsidR="00D86833">
        <w:t>due in FY 2022</w:t>
      </w:r>
      <w:r w:rsidR="00F23A38">
        <w:t>.</w:t>
      </w:r>
    </w:p>
    <w:p w14:paraId="443FCA8F" w14:textId="57055DF4" w:rsidR="00EE6D52" w:rsidRDefault="00DA4C7A" w:rsidP="004D3D44">
      <w:r>
        <w:t>After several letters and filings</w:t>
      </w:r>
      <w:r w:rsidR="00BA190A">
        <w:t xml:space="preserve"> </w:t>
      </w:r>
      <w:r w:rsidR="00010F99">
        <w:t>concerning</w:t>
      </w:r>
      <w:r w:rsidR="00BA190A">
        <w:t xml:space="preserve"> how </w:t>
      </w:r>
      <w:r w:rsidR="00010F99">
        <w:t xml:space="preserve">the Postal Service should address </w:t>
      </w:r>
      <w:r w:rsidR="00360A9D">
        <w:t xml:space="preserve">the </w:t>
      </w:r>
      <w:r w:rsidR="00401D92">
        <w:t>changed retiree health benefit payment requirements</w:t>
      </w:r>
      <w:r w:rsidR="00360A9D">
        <w:t xml:space="preserve"> (</w:t>
      </w:r>
      <w:r w:rsidR="00A96574">
        <w:t>in addition to</w:t>
      </w:r>
      <w:r w:rsidR="00360A9D">
        <w:t xml:space="preserve"> other changes to costs</w:t>
      </w:r>
      <w:r w:rsidR="00D2399E">
        <w:t>)</w:t>
      </w:r>
      <w:r w:rsidR="00360A9D">
        <w:t xml:space="preserve"> caused by the PSRA</w:t>
      </w:r>
      <w:r w:rsidR="00C74FE4">
        <w:t>,</w:t>
      </w:r>
      <w:r w:rsidR="00C74FE4">
        <w:rPr>
          <w:rStyle w:val="FootnoteReference"/>
        </w:rPr>
        <w:footnoteReference w:id="7"/>
      </w:r>
      <w:r w:rsidR="00C74FE4">
        <w:t xml:space="preserve"> the Commission issued Order No. 6363.</w:t>
      </w:r>
      <w:r w:rsidR="00B773A9">
        <w:t xml:space="preserve">  In Order No. 6363,</w:t>
      </w:r>
      <w:r w:rsidR="00557FDB" w:rsidRPr="00557FDB">
        <w:rPr>
          <w:i/>
          <w:iCs/>
        </w:rPr>
        <w:t xml:space="preserve"> </w:t>
      </w:r>
      <w:r w:rsidR="00735C63">
        <w:t xml:space="preserve">the Commission </w:t>
      </w:r>
      <w:r w:rsidR="006F31B2">
        <w:t xml:space="preserve">determined that the </w:t>
      </w:r>
      <w:r w:rsidR="00551BD4">
        <w:t>existing accepted analytical p</w:t>
      </w:r>
      <w:r w:rsidR="00FD4BD9">
        <w:t>rinciples are to be applied in the</w:t>
      </w:r>
      <w:r w:rsidR="00891539">
        <w:t xml:space="preserve"> Postal Service’s</w:t>
      </w:r>
      <w:r w:rsidR="00FD4BD9">
        <w:t xml:space="preserve"> FY 2022 Annual Compliance Report </w:t>
      </w:r>
      <w:r w:rsidR="00FD4BD9">
        <w:lastRenderedPageBreak/>
        <w:t>(ACR),</w:t>
      </w:r>
      <w:r w:rsidR="00CC4A38">
        <w:t xml:space="preserve"> which is</w:t>
      </w:r>
      <w:r w:rsidR="00FD4BD9">
        <w:t xml:space="preserve"> filed by the Postal Service</w:t>
      </w:r>
      <w:r w:rsidR="00623667">
        <w:t xml:space="preserve"> </w:t>
      </w:r>
      <w:r w:rsidR="00CC4A38">
        <w:t xml:space="preserve">in late December of </w:t>
      </w:r>
      <w:r w:rsidR="00A701E4">
        <w:t>each calendar year.</w:t>
      </w:r>
      <w:r w:rsidR="0081010C">
        <w:rPr>
          <w:rStyle w:val="FootnoteReference"/>
        </w:rPr>
        <w:footnoteReference w:id="8"/>
      </w:r>
      <w:r w:rsidR="00A701E4">
        <w:t xml:space="preserve">  The Commission</w:t>
      </w:r>
      <w:r w:rsidR="003742E7">
        <w:t xml:space="preserve"> then </w:t>
      </w:r>
      <w:r w:rsidR="00EE4738">
        <w:t xml:space="preserve">identified </w:t>
      </w:r>
      <w:r w:rsidR="003246C4">
        <w:t xml:space="preserve">how the accepted analytical principles would apply </w:t>
      </w:r>
      <w:r w:rsidR="006A01AA">
        <w:t>to</w:t>
      </w:r>
      <w:r w:rsidR="00EE4738">
        <w:t xml:space="preserve"> the costs at issue, including the treatment of retiree health benefit normal costs, and </w:t>
      </w:r>
      <w:r w:rsidR="00C61411">
        <w:t xml:space="preserve">described the process </w:t>
      </w:r>
      <w:r w:rsidR="00D0273D">
        <w:t xml:space="preserve">by which </w:t>
      </w:r>
      <w:r w:rsidR="001E7B78">
        <w:t xml:space="preserve">any party could petition for a change to the accepted analytical principles and receive a determination </w:t>
      </w:r>
      <w:r w:rsidR="007C53DD">
        <w:t>from the Commission prior to the FY</w:t>
      </w:r>
      <w:r w:rsidR="004D3D44">
        <w:t> </w:t>
      </w:r>
      <w:r w:rsidR="007C53DD">
        <w:t>2022 ACR docket’s conclusion and the issuance of the FY 2022 ACD in late March of 2023.</w:t>
      </w:r>
      <w:r w:rsidR="00B422F0">
        <w:t xml:space="preserve">  Order No. 6363 at</w:t>
      </w:r>
      <w:r w:rsidR="008072D8">
        <w:t xml:space="preserve"> 10-11; 39 U.S.C. 3653(b).</w:t>
      </w:r>
    </w:p>
    <w:p w14:paraId="56EA96EB" w14:textId="5CC21112" w:rsidR="002A23F0" w:rsidRDefault="00EE6D52" w:rsidP="00A92257">
      <w:proofErr w:type="gramStart"/>
      <w:r>
        <w:t>With regard to</w:t>
      </w:r>
      <w:proofErr w:type="gramEnd"/>
      <w:r>
        <w:t xml:space="preserve"> the treatment of retiree health benefit normal costs, </w:t>
      </w:r>
      <w:r w:rsidR="002609BB">
        <w:t xml:space="preserve">the Commission noted that the PSRA </w:t>
      </w:r>
      <w:r w:rsidR="00A06932">
        <w:t xml:space="preserve">removed the requirement that the Postal Service make retiree health benefit payments </w:t>
      </w:r>
      <w:r w:rsidR="00F650F4">
        <w:t xml:space="preserve">in FY 2022.  </w:t>
      </w:r>
      <w:r w:rsidR="00F650F4">
        <w:rPr>
          <w:i/>
          <w:iCs/>
        </w:rPr>
        <w:t xml:space="preserve">See </w:t>
      </w:r>
      <w:r w:rsidR="00F650F4">
        <w:t xml:space="preserve">Order No. 6363 at 10.  </w:t>
      </w:r>
      <w:r w:rsidR="00A92257">
        <w:t>The Commission explained that</w:t>
      </w:r>
      <w:r w:rsidR="00314B1A">
        <w:t>:</w:t>
      </w:r>
    </w:p>
    <w:p w14:paraId="7499F49D" w14:textId="5223F2AB" w:rsidR="00A63166" w:rsidRPr="00A63166" w:rsidRDefault="00A63166" w:rsidP="00A63166">
      <w:pPr>
        <w:spacing w:before="120" w:after="120" w:line="240" w:lineRule="auto"/>
        <w:ind w:left="1440" w:right="1440" w:firstLine="0"/>
        <w:rPr>
          <w:sz w:val="22"/>
          <w:szCs w:val="22"/>
        </w:rPr>
      </w:pPr>
      <w:r w:rsidRPr="00A63166">
        <w:rPr>
          <w:sz w:val="22"/>
          <w:szCs w:val="22"/>
        </w:rPr>
        <w:t>A</w:t>
      </w:r>
      <w:r w:rsidR="00557FDB" w:rsidRPr="00A63166">
        <w:rPr>
          <w:sz w:val="22"/>
          <w:szCs w:val="22"/>
        </w:rPr>
        <w:t xml:space="preserve">ccepted analytical principles dictate the treatment of the costs incurred by the Postal Service, and do not require inclusion of costs that are not incurred.  Applying the accepted principles to the costs incurred under the new requirements of </w:t>
      </w:r>
      <w:r w:rsidR="005F3C7F" w:rsidRPr="00A63166">
        <w:rPr>
          <w:sz w:val="22"/>
          <w:szCs w:val="22"/>
        </w:rPr>
        <w:t xml:space="preserve">[the] </w:t>
      </w:r>
      <w:r w:rsidR="00557FDB" w:rsidRPr="00A63166">
        <w:rPr>
          <w:sz w:val="22"/>
          <w:szCs w:val="22"/>
        </w:rPr>
        <w:t>PSRA does not require the Commission to accept a change in analytical principles.</w:t>
      </w:r>
    </w:p>
    <w:p w14:paraId="618E6790" w14:textId="04655B2B" w:rsidR="00557FDB" w:rsidRDefault="00DB4283" w:rsidP="00A63166">
      <w:pPr>
        <w:ind w:firstLine="0"/>
        <w:rPr>
          <w:i/>
          <w:iCs/>
        </w:rPr>
      </w:pPr>
      <w:r>
        <w:rPr>
          <w:i/>
          <w:iCs/>
        </w:rPr>
        <w:t>Id.</w:t>
      </w:r>
      <w:r w:rsidR="00557FDB">
        <w:t xml:space="preserve">  </w:t>
      </w:r>
      <w:r w:rsidR="00F10FE3">
        <w:t>The Commission concluded that “[a]</w:t>
      </w:r>
      <w:r w:rsidR="00557FDB" w:rsidRPr="00F5278F">
        <w:t>s a result, under the accepted methodology</w:t>
      </w:r>
      <w:r w:rsidR="00557FDB">
        <w:t>,</w:t>
      </w:r>
      <w:r w:rsidR="00557FDB" w:rsidRPr="00F5278F">
        <w:t xml:space="preserve"> there are </w:t>
      </w:r>
      <w:r w:rsidR="00996B97">
        <w:t>no a</w:t>
      </w:r>
      <w:r w:rsidR="00C76445">
        <w:t>mortization</w:t>
      </w:r>
      <w:r w:rsidR="00230823">
        <w:t xml:space="preserve"> and</w:t>
      </w:r>
      <w:r w:rsidR="00557FDB" w:rsidRPr="00F5278F">
        <w:t xml:space="preserve"> normal costs to account for in the Postal Service's financial reporting for FY 2022.  Including such cost</w:t>
      </w:r>
      <w:r w:rsidR="00557FDB">
        <w:t>s</w:t>
      </w:r>
      <w:r w:rsidR="00557FDB" w:rsidRPr="00F5278F">
        <w:t xml:space="preserve"> not incurred by the Postal Service would require a change in accepted methodology.</w:t>
      </w:r>
      <w:r w:rsidR="008D300E">
        <w:t xml:space="preserve">”  </w:t>
      </w:r>
      <w:r w:rsidR="008D300E">
        <w:rPr>
          <w:i/>
          <w:iCs/>
        </w:rPr>
        <w:t>Id.</w:t>
      </w:r>
    </w:p>
    <w:p w14:paraId="62A64BA9" w14:textId="7746E7F6" w:rsidR="00DA4C7A" w:rsidRDefault="0000285E" w:rsidP="00B55F6E">
      <w:pPr>
        <w:rPr>
          <w:i/>
          <w:iCs/>
        </w:rPr>
      </w:pPr>
      <w:r>
        <w:t xml:space="preserve">The Commission stated that </w:t>
      </w:r>
      <w:r w:rsidR="00224BF4">
        <w:t xml:space="preserve">should any party “desire the Commission rely on a different analytical principle with regard to the </w:t>
      </w:r>
      <w:r w:rsidR="00331433">
        <w:t>amortization and</w:t>
      </w:r>
      <w:r w:rsidR="00224BF4">
        <w:t xml:space="preserve"> normal cost payments</w:t>
      </w:r>
      <w:r w:rsidR="00331433">
        <w:t xml:space="preserve"> (which the Postal Service does not incur in FY 2022 or beyond</w:t>
      </w:r>
      <w:r w:rsidR="00414EEA">
        <w:t>)</w:t>
      </w:r>
      <w:r w:rsidR="00224BF4">
        <w:t xml:space="preserve">, [it] may petition the Commission for a change pursuant to 39 </w:t>
      </w:r>
      <w:r w:rsidR="00E67489">
        <w:t>[</w:t>
      </w:r>
      <w:r w:rsidR="00224BF4">
        <w:t>CFR</w:t>
      </w:r>
      <w:r w:rsidR="00E67489">
        <w:t>]</w:t>
      </w:r>
      <w:r w:rsidR="00224BF4">
        <w:t xml:space="preserve"> part 3050.”  </w:t>
      </w:r>
      <w:r w:rsidR="00224BF4">
        <w:rPr>
          <w:i/>
          <w:iCs/>
        </w:rPr>
        <w:t>Id.</w:t>
      </w:r>
      <w:r w:rsidR="00224BF4">
        <w:t xml:space="preserve"> at 11.  </w:t>
      </w:r>
      <w:r w:rsidR="005F3A1B">
        <w:t xml:space="preserve">The Commission </w:t>
      </w:r>
      <w:r w:rsidR="00664057">
        <w:t xml:space="preserve">stated that for </w:t>
      </w:r>
      <w:r w:rsidR="00020ECE">
        <w:t>such a petition to be considered for purposes of the FY 2022 ACD, it must be filed no later than December 21, 2022.</w:t>
      </w:r>
      <w:r w:rsidR="008233E1">
        <w:t xml:space="preserve">  </w:t>
      </w:r>
      <w:r w:rsidR="008233E1">
        <w:rPr>
          <w:i/>
          <w:iCs/>
        </w:rPr>
        <w:t>Id.</w:t>
      </w:r>
      <w:r w:rsidR="00295F3E">
        <w:t xml:space="preserve">  The Commission stated that </w:t>
      </w:r>
      <w:r w:rsidR="008233E1">
        <w:t xml:space="preserve">review </w:t>
      </w:r>
      <w:r w:rsidR="008233E1">
        <w:lastRenderedPageBreak/>
        <w:t>of any petitions will take place in new rulemaking dockets, rather than in Docket No.</w:t>
      </w:r>
      <w:r w:rsidR="004C5C30">
        <w:t> </w:t>
      </w:r>
      <w:r w:rsidR="008233E1">
        <w:t xml:space="preserve">RM2023-1.  </w:t>
      </w:r>
      <w:r w:rsidR="008233E1">
        <w:rPr>
          <w:i/>
          <w:iCs/>
        </w:rPr>
        <w:t>Id</w:t>
      </w:r>
      <w:r w:rsidR="00120DE7">
        <w:rPr>
          <w:i/>
          <w:iCs/>
        </w:rPr>
        <w:t>.</w:t>
      </w:r>
    </w:p>
    <w:p w14:paraId="68C17B63" w14:textId="183B13A0" w:rsidR="00DB7745" w:rsidRDefault="00DB7745" w:rsidP="00A83D34">
      <w:pPr>
        <w:pStyle w:val="Heading1"/>
      </w:pPr>
      <w:r>
        <w:t>III.</w:t>
      </w:r>
      <w:r>
        <w:tab/>
        <w:t xml:space="preserve">THE MAILERS’ MOTION AND PETITION AND </w:t>
      </w:r>
      <w:r w:rsidR="00C574EA">
        <w:t>RESPONSES</w:t>
      </w:r>
    </w:p>
    <w:p w14:paraId="61A76D0A" w14:textId="0C2ECD6B" w:rsidR="00DB7745" w:rsidRDefault="00DB7745" w:rsidP="006E1A13">
      <w:pPr>
        <w:pStyle w:val="Heading2"/>
        <w:numPr>
          <w:ilvl w:val="0"/>
          <w:numId w:val="17"/>
        </w:numPr>
        <w:ind w:hanging="720"/>
      </w:pPr>
      <w:r>
        <w:t>Mailers’ Motion and Petition</w:t>
      </w:r>
    </w:p>
    <w:p w14:paraId="7A8B2682" w14:textId="79340DA4" w:rsidR="00D53AC1" w:rsidRDefault="00D53AC1" w:rsidP="00D53AC1">
      <w:r>
        <w:t xml:space="preserve">On </w:t>
      </w:r>
      <w:r w:rsidR="00740A3B">
        <w:t xml:space="preserve">December 19, 2022, the Mailers’ </w:t>
      </w:r>
      <w:r w:rsidR="00541B38">
        <w:t>filed a motion for reconsideration of Order No. 6363</w:t>
      </w:r>
      <w:r w:rsidR="00DC3096">
        <w:t>, and in the alternative, requested that the</w:t>
      </w:r>
      <w:r w:rsidR="00D51098">
        <w:t xml:space="preserve"> Commission</w:t>
      </w:r>
      <w:r w:rsidR="00052C13">
        <w:t xml:space="preserve"> accept their petition and</w:t>
      </w:r>
      <w:r w:rsidR="00DC3096">
        <w:t xml:space="preserve"> begin a proceeding </w:t>
      </w:r>
      <w:r w:rsidR="00E50C8B">
        <w:t>to</w:t>
      </w:r>
      <w:r w:rsidR="00052C13">
        <w:t xml:space="preserve"> change</w:t>
      </w:r>
      <w:r w:rsidR="00E50C8B">
        <w:t xml:space="preserve"> the accepted analytical principle</w:t>
      </w:r>
      <w:r w:rsidR="009E7525">
        <w:t>s</w:t>
      </w:r>
      <w:r w:rsidR="00E50C8B">
        <w:t xml:space="preserve"> applying to FY</w:t>
      </w:r>
      <w:r w:rsidR="00F77ADA">
        <w:t> </w:t>
      </w:r>
      <w:r w:rsidR="00E50C8B">
        <w:t>2022 retiree health benefit normal costs</w:t>
      </w:r>
      <w:r w:rsidR="00052C13">
        <w:t xml:space="preserve"> consistent with NPPC et al. </w:t>
      </w:r>
      <w:r w:rsidR="00066131">
        <w:t>Proposal One</w:t>
      </w:r>
      <w:r w:rsidR="00E50C8B">
        <w:t>.  Mailers’ Motion and Petition at 1.</w:t>
      </w:r>
    </w:p>
    <w:p w14:paraId="6B7CC843" w14:textId="69796ED3" w:rsidR="002F2308" w:rsidRDefault="005B17B3" w:rsidP="00D53AC1">
      <w:pPr>
        <w:rPr>
          <w:i/>
          <w:iCs/>
        </w:rPr>
      </w:pPr>
      <w:r>
        <w:t xml:space="preserve">The primary argument raised by the Mailers in favor of reconsideration is that </w:t>
      </w:r>
      <w:r w:rsidR="00464B22">
        <w:t>the current accepted analytical principle</w:t>
      </w:r>
      <w:r w:rsidR="004D367E">
        <w:t>s</w:t>
      </w:r>
      <w:r w:rsidR="00522682">
        <w:t xml:space="preserve"> dictate that FY 2022 retiree health benefit normal costs </w:t>
      </w:r>
      <w:r w:rsidR="007A4D72">
        <w:t xml:space="preserve">“should be treated as accrued in FY 2022 and distributed as attributable or institutional in the same manner as they have been in every year since FY 2008.”  </w:t>
      </w:r>
      <w:r w:rsidR="003C50F5">
        <w:rPr>
          <w:i/>
          <w:iCs/>
        </w:rPr>
        <w:t>Id.</w:t>
      </w:r>
      <w:r w:rsidR="00112D19">
        <w:t xml:space="preserve">  Thus, the Mailers request that the Commission reconsider Order No. 6363’s conclusion that </w:t>
      </w:r>
      <w:r w:rsidR="003A5112">
        <w:t>excluding retiree health benefit normal costs from the annual Cost and Revenue Analysis Report (CRA) filed with the FY 2022 ACR i</w:t>
      </w:r>
      <w:r w:rsidR="00404109">
        <w:t>s</w:t>
      </w:r>
      <w:r w:rsidR="003A5112">
        <w:t xml:space="preserve"> not a change in analytical principle</w:t>
      </w:r>
      <w:r w:rsidR="0012180D">
        <w:t>s</w:t>
      </w:r>
      <w:r w:rsidR="007A255C">
        <w:t>.</w:t>
      </w:r>
      <w:r w:rsidR="00FD1E3B">
        <w:t xml:space="preserve">  </w:t>
      </w:r>
      <w:r w:rsidR="00FD1E3B">
        <w:rPr>
          <w:i/>
          <w:iCs/>
        </w:rPr>
        <w:t>Id.</w:t>
      </w:r>
      <w:r w:rsidR="00FD1E3B">
        <w:t xml:space="preserve"> at 2.</w:t>
      </w:r>
      <w:r w:rsidR="007A255C">
        <w:t xml:space="preserve">  They also request reconsideration of the decision </w:t>
      </w:r>
      <w:r w:rsidR="00A0738A">
        <w:t>“to impose the burden on mailers to petition the Commission for a change in analytical treatment, when it is the Postal Service, not the mailers, that is proposing</w:t>
      </w:r>
      <w:r w:rsidR="00FD1E3B">
        <w:t xml:space="preserve"> [a change in analytical principle</w:t>
      </w:r>
      <w:r w:rsidR="006F74C5">
        <w:t>s</w:t>
      </w:r>
      <w:r w:rsidR="00FD1E3B">
        <w:t xml:space="preserve">].”  </w:t>
      </w:r>
      <w:r w:rsidR="00FD1E3B">
        <w:rPr>
          <w:i/>
          <w:iCs/>
        </w:rPr>
        <w:t>Id.</w:t>
      </w:r>
    </w:p>
    <w:p w14:paraId="2B9BA881" w14:textId="0EC65649" w:rsidR="00B95BD1" w:rsidRDefault="004A7E51" w:rsidP="00D53AC1">
      <w:r>
        <w:t>The Mailers assert</w:t>
      </w:r>
      <w:r w:rsidR="00957916">
        <w:t xml:space="preserve"> that “[t]he normal costs at issue are the costs incurred this year for post-retirement health benefits for current employees” and that because employees are entitled to </w:t>
      </w:r>
      <w:r w:rsidR="007E69D3">
        <w:t>those benefit</w:t>
      </w:r>
      <w:r w:rsidR="00BE59D2">
        <w:t>s</w:t>
      </w:r>
      <w:r w:rsidR="007E69D3">
        <w:t xml:space="preserve"> due to work performed in FY 2022, those benefits are</w:t>
      </w:r>
      <w:r w:rsidR="000E7E58">
        <w:t xml:space="preserve"> earned </w:t>
      </w:r>
      <w:r w:rsidR="00F8134B">
        <w:t>in FY 2022</w:t>
      </w:r>
      <w:r w:rsidR="000E7E58">
        <w:t xml:space="preserve">.  </w:t>
      </w:r>
      <w:r w:rsidR="000E7E58">
        <w:rPr>
          <w:i/>
          <w:iCs/>
        </w:rPr>
        <w:t>Id.</w:t>
      </w:r>
      <w:r w:rsidR="000E7E58">
        <w:t xml:space="preserve"> at 2-3.</w:t>
      </w:r>
      <w:r w:rsidR="007E69D3">
        <w:t xml:space="preserve"> </w:t>
      </w:r>
      <w:r w:rsidR="00FD1E3B">
        <w:t xml:space="preserve"> </w:t>
      </w:r>
      <w:r w:rsidR="00B400C9">
        <w:t>The Mailers further assert that retiree health benefit normal costs have been accrued and attributed in the year they are earned s</w:t>
      </w:r>
      <w:r w:rsidR="0050601C">
        <w:t xml:space="preserve">ince 2008.  </w:t>
      </w:r>
      <w:r w:rsidR="0050601C">
        <w:rPr>
          <w:i/>
          <w:iCs/>
        </w:rPr>
        <w:t>Id.</w:t>
      </w:r>
      <w:r w:rsidR="0050601C">
        <w:t xml:space="preserve"> at 3.  T</w:t>
      </w:r>
      <w:r w:rsidR="002C1314">
        <w:t>o support this assertion, the Mailers state that the Postal Service uses accrual accounting</w:t>
      </w:r>
      <w:r w:rsidR="009A7437">
        <w:t xml:space="preserve"> and that a basic principle of accrual accounting is that costs accrue </w:t>
      </w:r>
      <w:r w:rsidR="009A7437">
        <w:lastRenderedPageBreak/>
        <w:t xml:space="preserve">when incurred.  </w:t>
      </w:r>
      <w:r w:rsidR="009A7437">
        <w:rPr>
          <w:i/>
          <w:iCs/>
        </w:rPr>
        <w:t>Id.</w:t>
      </w:r>
      <w:r w:rsidR="00E93C95">
        <w:t xml:space="preserve">  </w:t>
      </w:r>
      <w:r w:rsidR="00EC537F">
        <w:t xml:space="preserve">The Mailers state that this principle </w:t>
      </w:r>
      <w:r w:rsidR="000A4D98">
        <w:t>is the accepted analytical principle for normal costs “that the Commission and Postal Service ha</w:t>
      </w:r>
      <w:r w:rsidR="00F73766">
        <w:t>ve</w:t>
      </w:r>
      <w:r w:rsidR="000A4D98">
        <w:t xml:space="preserve"> applied consistently in every year since 2008.”  </w:t>
      </w:r>
      <w:r w:rsidR="00C96544">
        <w:rPr>
          <w:i/>
          <w:iCs/>
        </w:rPr>
        <w:t>Id.</w:t>
      </w:r>
    </w:p>
    <w:p w14:paraId="7E4E551E" w14:textId="3F636E4D" w:rsidR="00122848" w:rsidRDefault="00122848" w:rsidP="00D53AC1">
      <w:r>
        <w:t xml:space="preserve">The Mailers explain that the accrued costs reflected in the </w:t>
      </w:r>
      <w:r w:rsidR="00D36AC6">
        <w:t>T</w:t>
      </w:r>
      <w:r>
        <w:t xml:space="preserve">rial </w:t>
      </w:r>
      <w:r w:rsidR="00D36AC6">
        <w:t>B</w:t>
      </w:r>
      <w:r>
        <w:t>alance form the basis of costs by cost segment and component</w:t>
      </w:r>
      <w:r w:rsidR="00761CFB">
        <w:t xml:space="preserve">, and that accrual in each segment in the </w:t>
      </w:r>
      <w:r w:rsidR="00F03599">
        <w:t>T</w:t>
      </w:r>
      <w:r w:rsidR="00761CFB">
        <w:t xml:space="preserve">rial </w:t>
      </w:r>
      <w:r w:rsidR="00F03599">
        <w:t>B</w:t>
      </w:r>
      <w:r w:rsidR="00761CFB">
        <w:t>alance matches the segment cost in the cost segments and components</w:t>
      </w:r>
      <w:r w:rsidR="005C5C22">
        <w:t>, which in turn form the basis of the CRA and ACR</w:t>
      </w:r>
      <w:r w:rsidR="00540AE8">
        <w:t xml:space="preserve">, critical documents for purposes of the ACD.  </w:t>
      </w:r>
      <w:r w:rsidR="00540AE8">
        <w:rPr>
          <w:i/>
          <w:iCs/>
        </w:rPr>
        <w:t>Id.</w:t>
      </w:r>
      <w:r w:rsidR="00540AE8">
        <w:t xml:space="preserve"> at 4.</w:t>
      </w:r>
      <w:r w:rsidR="001F7357">
        <w:t xml:space="preserve">  The Mailers note that the FY 2021 </w:t>
      </w:r>
      <w:r w:rsidR="00FF252C">
        <w:t>C</w:t>
      </w:r>
      <w:r w:rsidR="001F7357">
        <w:t xml:space="preserve">ost </w:t>
      </w:r>
      <w:r w:rsidR="00FF252C">
        <w:t>S</w:t>
      </w:r>
      <w:r w:rsidR="001F7357">
        <w:t>egment 18 summary description</w:t>
      </w:r>
      <w:r w:rsidR="00391EBE">
        <w:t xml:space="preserve"> </w:t>
      </w:r>
      <w:r w:rsidR="00570279">
        <w:t>explains</w:t>
      </w:r>
      <w:r w:rsidR="001650A2">
        <w:t xml:space="preserve"> </w:t>
      </w:r>
      <w:r w:rsidR="006F2748">
        <w:t>how</w:t>
      </w:r>
      <w:r w:rsidR="001650A2">
        <w:t xml:space="preserve"> the normal cost of retiree health benefits </w:t>
      </w:r>
      <w:r w:rsidR="00570279">
        <w:t xml:space="preserve">are </w:t>
      </w:r>
      <w:r w:rsidR="00394426">
        <w:t>attributed</w:t>
      </w:r>
      <w:r w:rsidR="00D05627">
        <w:t xml:space="preserve"> and assert that the Commission relied on this in the FY 2021 ACD</w:t>
      </w:r>
      <w:r w:rsidR="00394426">
        <w:t xml:space="preserve">.  </w:t>
      </w:r>
      <w:r w:rsidR="00394426">
        <w:rPr>
          <w:i/>
          <w:iCs/>
        </w:rPr>
        <w:t>Id.</w:t>
      </w:r>
      <w:r w:rsidR="00394426">
        <w:t xml:space="preserve"> at 4-5.  </w:t>
      </w:r>
      <w:r w:rsidR="00D05627">
        <w:t xml:space="preserve">They state </w:t>
      </w:r>
      <w:r w:rsidR="002A2B0D">
        <w:t>that “[a] failure to accrue and attribute [retiree health benefit] normal costs in FY 2022 would constitute a change in the distribution of normal costs among attributable and institutional costs”</w:t>
      </w:r>
      <w:r w:rsidR="00196603">
        <w:t xml:space="preserve"> and </w:t>
      </w:r>
      <w:r w:rsidR="006653AB">
        <w:t xml:space="preserve">that </w:t>
      </w:r>
      <w:r w:rsidR="00204366">
        <w:t>“[</w:t>
      </w:r>
      <w:r w:rsidR="006653AB">
        <w:t>a</w:t>
      </w:r>
      <w:r w:rsidR="00204366">
        <w:t>]</w:t>
      </w:r>
      <w:proofErr w:type="spellStart"/>
      <w:r w:rsidR="006653AB">
        <w:t>llowing</w:t>
      </w:r>
      <w:proofErr w:type="spellEnd"/>
      <w:r w:rsidR="006653AB">
        <w:t xml:space="preserve"> the Postal Service to</w:t>
      </w:r>
      <w:r w:rsidR="00204366">
        <w:t xml:space="preserve"> circumvent this process by categorically ‘omitting’ these costs from the Trial Balance w</w:t>
      </w:r>
      <w:r w:rsidR="00EF414D">
        <w:t>ould circumvent this institutional safeguard on the integrity of the cost models.”</w:t>
      </w:r>
      <w:r w:rsidR="002A2B0D">
        <w:t xml:space="preserve">  </w:t>
      </w:r>
      <w:r w:rsidR="002A2B0D">
        <w:rPr>
          <w:i/>
          <w:iCs/>
        </w:rPr>
        <w:t>Id.</w:t>
      </w:r>
      <w:r w:rsidR="002A2B0D">
        <w:t xml:space="preserve"> at 5.</w:t>
      </w:r>
      <w:r w:rsidR="006C5825">
        <w:t xml:space="preserve">  The Mailers emphasize that the Commission’s regulations require that the Postal Service use accepted analytical principles</w:t>
      </w:r>
      <w:r w:rsidR="00167641">
        <w:t xml:space="preserve"> in the ACR, that is, those applied by the Commission in the most recent ACD unless different analytical principle</w:t>
      </w:r>
      <w:r w:rsidR="00122F58">
        <w:t>s</w:t>
      </w:r>
      <w:r w:rsidR="00167641">
        <w:t xml:space="preserve"> </w:t>
      </w:r>
      <w:r w:rsidR="00122F58">
        <w:t xml:space="preserve">were </w:t>
      </w:r>
      <w:r w:rsidR="00167641">
        <w:t xml:space="preserve">accepted by the Commission in a final rule.  </w:t>
      </w:r>
      <w:r w:rsidR="00167641">
        <w:rPr>
          <w:i/>
          <w:iCs/>
        </w:rPr>
        <w:t>Id.</w:t>
      </w:r>
      <w:r w:rsidR="00167641">
        <w:t xml:space="preserve"> (citing </w:t>
      </w:r>
      <w:r w:rsidR="008B3027">
        <w:t xml:space="preserve">39 </w:t>
      </w:r>
      <w:r w:rsidR="00F0342B">
        <w:t>CFR</w:t>
      </w:r>
      <w:r w:rsidR="008B3027">
        <w:t xml:space="preserve"> 3050.1(a), .10).</w:t>
      </w:r>
      <w:r w:rsidR="00C62BAA">
        <w:t xml:space="preserve">  They conclude that the regulations thus require the Postal Service to accrue in FY 2022 retiree health benefit normal costs that were earned in FY 2022</w:t>
      </w:r>
      <w:r w:rsidR="003D5940">
        <w:t>, which they assert is the established analytical principle</w:t>
      </w:r>
      <w:r w:rsidR="004C7C42">
        <w:t xml:space="preserve">.  </w:t>
      </w:r>
      <w:r w:rsidR="004C7C42">
        <w:rPr>
          <w:i/>
          <w:iCs/>
        </w:rPr>
        <w:t>Id.</w:t>
      </w:r>
      <w:r w:rsidR="004C7C42">
        <w:t xml:space="preserve"> at 6.</w:t>
      </w:r>
    </w:p>
    <w:p w14:paraId="40D22E8E" w14:textId="4D2D361C" w:rsidR="00920C35" w:rsidRDefault="00301DDD" w:rsidP="00380EF6">
      <w:r>
        <w:t xml:space="preserve">The Mailers further assert that </w:t>
      </w:r>
      <w:r w:rsidR="00F96A24">
        <w:t xml:space="preserve">the fact “[t]hat normal costs are accrued in this way was resolved in Docket No. RM2007-1, as the Commission implemented the Postal Accountability and Enhancement Act.”  </w:t>
      </w:r>
      <w:r w:rsidR="00AA26B7">
        <w:rPr>
          <w:i/>
          <w:iCs/>
        </w:rPr>
        <w:t>Id.</w:t>
      </w:r>
      <w:r w:rsidR="00AA26B7">
        <w:t xml:space="preserve">  </w:t>
      </w:r>
      <w:r w:rsidR="00497C8F">
        <w:t>T</w:t>
      </w:r>
      <w:r w:rsidR="00146536">
        <w:t>he Mailers cite</w:t>
      </w:r>
      <w:r w:rsidR="00E779D1">
        <w:t xml:space="preserve"> to the Postal Service’s comments in that proceeding,</w:t>
      </w:r>
      <w:r w:rsidR="00146536">
        <w:t xml:space="preserve"> which </w:t>
      </w:r>
      <w:r w:rsidR="00B90832">
        <w:t>discuss attributing normal costs</w:t>
      </w:r>
      <w:r w:rsidR="00131733">
        <w:t xml:space="preserve"> differently than in accordance with payment schedules</w:t>
      </w:r>
      <w:r w:rsidR="00C41932">
        <w:t xml:space="preserve"> and </w:t>
      </w:r>
      <w:r w:rsidR="007A4CF8">
        <w:t>attributing</w:t>
      </w:r>
      <w:r w:rsidR="00C41932">
        <w:t xml:space="preserve"> normal costs as they are earned</w:t>
      </w:r>
      <w:r w:rsidR="00131733">
        <w:t xml:space="preserve">.  </w:t>
      </w:r>
      <w:r w:rsidR="00131733">
        <w:rPr>
          <w:i/>
          <w:iCs/>
        </w:rPr>
        <w:t>Id.</w:t>
      </w:r>
      <w:r w:rsidR="00131733">
        <w:t xml:space="preserve"> at 6-</w:t>
      </w:r>
      <w:r w:rsidR="00CC1BE0">
        <w:t>8</w:t>
      </w:r>
      <w:r w:rsidR="00131733">
        <w:t xml:space="preserve">.  </w:t>
      </w:r>
      <w:r w:rsidR="00E1077F">
        <w:t>T</w:t>
      </w:r>
      <w:r w:rsidR="00131733">
        <w:t>he Mailers</w:t>
      </w:r>
      <w:r w:rsidR="00E1077F">
        <w:t xml:space="preserve"> also</w:t>
      </w:r>
      <w:r w:rsidR="00131733">
        <w:t xml:space="preserve"> assert that </w:t>
      </w:r>
      <w:r w:rsidR="00AF02D8">
        <w:t>accruing normal costs in this way</w:t>
      </w:r>
      <w:r w:rsidR="003409B8">
        <w:t xml:space="preserve"> was also consistent with the </w:t>
      </w:r>
      <w:r w:rsidR="005021C5">
        <w:t>former</w:t>
      </w:r>
      <w:r w:rsidR="003409B8">
        <w:t xml:space="preserve"> General Accounting Office</w:t>
      </w:r>
      <w:r w:rsidR="005021C5">
        <w:t xml:space="preserve"> and current Government Accountability Office</w:t>
      </w:r>
      <w:r w:rsidR="00F278AE">
        <w:t xml:space="preserve"> (GAO)</w:t>
      </w:r>
      <w:r w:rsidR="003409B8">
        <w:t xml:space="preserve">’s </w:t>
      </w:r>
      <w:r w:rsidR="00155BF2">
        <w:t>“longstanding view</w:t>
      </w:r>
      <w:r w:rsidR="00387B0D">
        <w:t xml:space="preserve"> on this issue</w:t>
      </w:r>
      <w:r w:rsidR="00155BF2">
        <w:t>”</w:t>
      </w:r>
      <w:r w:rsidR="00A90CE0">
        <w:t xml:space="preserve"> and </w:t>
      </w:r>
      <w:r w:rsidR="009178FB">
        <w:t xml:space="preserve">cite to documents </w:t>
      </w:r>
      <w:r w:rsidR="009178FB">
        <w:lastRenderedPageBreak/>
        <w:t>from 1992 and 2002</w:t>
      </w:r>
      <w:r w:rsidR="00B83D6D">
        <w:t>, in which the Postal Service was urged to adopt accrual accounting for retiree health benefit costs.</w:t>
      </w:r>
      <w:r w:rsidR="00387B0D">
        <w:t xml:space="preserve">  </w:t>
      </w:r>
      <w:r w:rsidR="00387B0D">
        <w:rPr>
          <w:i/>
          <w:iCs/>
        </w:rPr>
        <w:t>Id.</w:t>
      </w:r>
      <w:r w:rsidR="00387B0D">
        <w:t xml:space="preserve"> at 7</w:t>
      </w:r>
      <w:r w:rsidR="00FC5B1C">
        <w:t>-8</w:t>
      </w:r>
      <w:r w:rsidR="00387B0D">
        <w:t xml:space="preserve">.  </w:t>
      </w:r>
      <w:r w:rsidR="00644F9C">
        <w:t>The Mailers conclude</w:t>
      </w:r>
      <w:r w:rsidR="00816FD8">
        <w:t xml:space="preserve"> that</w:t>
      </w:r>
      <w:r w:rsidR="00644F9C">
        <w:t xml:space="preserve"> </w:t>
      </w:r>
      <w:r w:rsidR="00F03A64">
        <w:t xml:space="preserve">this was the approach adopted by the Commission and applied “in every annual compliance review proceeding since FY 2008.”  </w:t>
      </w:r>
      <w:r w:rsidR="00F03A64">
        <w:rPr>
          <w:i/>
          <w:iCs/>
        </w:rPr>
        <w:t>Id.</w:t>
      </w:r>
      <w:r w:rsidR="00F03A64">
        <w:t xml:space="preserve"> at 8.</w:t>
      </w:r>
    </w:p>
    <w:p w14:paraId="378050CD" w14:textId="26987827" w:rsidR="0063001A" w:rsidRDefault="008E00EA" w:rsidP="00D53AC1">
      <w:r>
        <w:t xml:space="preserve">The Mailers state that </w:t>
      </w:r>
      <w:r w:rsidR="00C07CC6">
        <w:t xml:space="preserve">“failing to accrue the [retiree health benefit] normal costs in the year that they are earned would have real world negative consequences,” the </w:t>
      </w:r>
      <w:r w:rsidR="00D632AD">
        <w:t xml:space="preserve">most important of which is violation of the principles of cost causation embodied in the </w:t>
      </w:r>
      <w:r w:rsidR="007A2810">
        <w:t>Postal Accountability and Enhancement Act (</w:t>
      </w:r>
      <w:r w:rsidR="00D632AD">
        <w:t>PAEA</w:t>
      </w:r>
      <w:r w:rsidR="007A2810">
        <w:t>)</w:t>
      </w:r>
      <w:r w:rsidR="00426432">
        <w:t>.</w:t>
      </w:r>
      <w:r w:rsidR="00621777">
        <w:rPr>
          <w:rStyle w:val="FootnoteReference"/>
        </w:rPr>
        <w:footnoteReference w:id="9"/>
      </w:r>
      <w:r w:rsidR="00C23578">
        <w:t xml:space="preserve">  The Mailers assert that </w:t>
      </w:r>
      <w:r w:rsidR="00503698">
        <w:t>“[e]</w:t>
      </w:r>
      <w:proofErr w:type="spellStart"/>
      <w:r w:rsidR="00503698">
        <w:t>conomic</w:t>
      </w:r>
      <w:proofErr w:type="spellEnd"/>
      <w:r w:rsidR="00503698">
        <w:t xml:space="preserve"> costs are the foundation of postal cost accounting, and the economic costs of postal workers include [retiree health benefit</w:t>
      </w:r>
      <w:r w:rsidR="00603C0D">
        <w:t>] normal costs”</w:t>
      </w:r>
      <w:r w:rsidR="008B3830">
        <w:t xml:space="preserve"> and that omitting such costs </w:t>
      </w:r>
      <w:r w:rsidR="004A2079">
        <w:t>would mean that costs do not reflect economic costs.</w:t>
      </w:r>
      <w:r w:rsidR="00603C0D">
        <w:t xml:space="preserve">  </w:t>
      </w:r>
      <w:r w:rsidR="00CD7718">
        <w:t xml:space="preserve">Mailers’ Motion and Petition </w:t>
      </w:r>
      <w:r w:rsidR="004A2079">
        <w:t>at 8-9.</w:t>
      </w:r>
      <w:r w:rsidR="00CA58F3">
        <w:t xml:space="preserve">  The Mailers argue that this would lead to inefficient rates, particularly for workshare discounts.  </w:t>
      </w:r>
      <w:r w:rsidR="00CA58F3">
        <w:rPr>
          <w:i/>
          <w:iCs/>
        </w:rPr>
        <w:t>Id.</w:t>
      </w:r>
      <w:r w:rsidR="00661406">
        <w:t xml:space="preserve"> at 9.</w:t>
      </w:r>
      <w:r w:rsidR="00CA58F3">
        <w:t xml:space="preserve">  Specifically, the Mailers explain that </w:t>
      </w:r>
      <w:r w:rsidR="006A28C2">
        <w:t>“[o</w:t>
      </w:r>
      <w:r w:rsidR="00661406">
        <w:t>]</w:t>
      </w:r>
      <w:r w:rsidR="006A28C2">
        <w:t xml:space="preserve">mitting a portion of the direct and indirect labor costs from the calculation of avoided costs </w:t>
      </w:r>
      <w:r w:rsidR="00661406">
        <w:t>would unavoidably result in underestimates of costs avoidances, which in turn would lead to inefficiently priced workshare discounts”</w:t>
      </w:r>
      <w:r w:rsidR="00D5783C">
        <w:t xml:space="preserve"> and could result in</w:t>
      </w:r>
      <w:r w:rsidR="00F85420">
        <w:t xml:space="preserve"> inaccurate</w:t>
      </w:r>
      <w:r w:rsidR="00D5783C">
        <w:t xml:space="preserve"> findings that some workshare discounts exceed avoided costs</w:t>
      </w:r>
      <w:r w:rsidR="00F85420">
        <w:t xml:space="preserve"> and must be adjusted. </w:t>
      </w:r>
      <w:r w:rsidR="009B0D03">
        <w:t xml:space="preserve"> </w:t>
      </w:r>
      <w:r w:rsidR="009B0D03">
        <w:rPr>
          <w:i/>
          <w:iCs/>
        </w:rPr>
        <w:t>Id.</w:t>
      </w:r>
      <w:r w:rsidR="00F85420">
        <w:t xml:space="preserve">  </w:t>
      </w:r>
      <w:r w:rsidR="0036016C">
        <w:t xml:space="preserve">The Mailers assert that this harm </w:t>
      </w:r>
      <w:r w:rsidR="0063001A">
        <w:t>could potentially</w:t>
      </w:r>
      <w:r w:rsidR="0036016C">
        <w:t xml:space="preserve"> lead to long-term </w:t>
      </w:r>
      <w:r w:rsidR="0063001A">
        <w:t xml:space="preserve">distortions in workshare discounts.  </w:t>
      </w:r>
      <w:r w:rsidR="0063001A">
        <w:rPr>
          <w:i/>
          <w:iCs/>
        </w:rPr>
        <w:t>Id.</w:t>
      </w:r>
    </w:p>
    <w:p w14:paraId="1B25ADF0" w14:textId="12399ED3" w:rsidR="007512E8" w:rsidRDefault="00380EF6" w:rsidP="007512E8">
      <w:r>
        <w:t>Because the Mailers claim that the accepted analytical principle “unquestionably</w:t>
      </w:r>
      <w:r w:rsidR="00AE30FF">
        <w:t xml:space="preserve"> accrues [retiree health benefit] normal costs as a cost in the year in which they are incurred,” they assert that </w:t>
      </w:r>
      <w:r w:rsidR="002C69C6">
        <w:t>it is the Postal Service, and not the Mailers, that want</w:t>
      </w:r>
      <w:r w:rsidR="00456B8E">
        <w:t>s</w:t>
      </w:r>
      <w:r w:rsidR="002C69C6">
        <w:t xml:space="preserve"> to change the accepted analytical principle for FY 2022.  </w:t>
      </w:r>
      <w:r w:rsidR="00C532D9">
        <w:rPr>
          <w:i/>
          <w:iCs/>
        </w:rPr>
        <w:t>Id.</w:t>
      </w:r>
      <w:r w:rsidR="00C532D9">
        <w:t xml:space="preserve"> at 9-10.</w:t>
      </w:r>
      <w:r w:rsidR="007C2D25">
        <w:t xml:space="preserve">  The Mailers assert that Order No. 6363 </w:t>
      </w:r>
      <w:r w:rsidR="00027547">
        <w:t xml:space="preserve">accepted an admission by the Postal Service that a change to an analytical principle was </w:t>
      </w:r>
      <w:r w:rsidR="00B01534">
        <w:t>required but also “somehow simultaneously held that there is no change in the underlying analytical principle</w:t>
      </w:r>
      <w:r w:rsidR="001D608C">
        <w:t xml:space="preserve"> and that therefore </w:t>
      </w:r>
      <w:r w:rsidR="001D608C">
        <w:rPr>
          <w:i/>
          <w:iCs/>
        </w:rPr>
        <w:t>mailers</w:t>
      </w:r>
      <w:r w:rsidR="001D608C">
        <w:t xml:space="preserve"> must initiate a proposed change.”  </w:t>
      </w:r>
      <w:r w:rsidR="001D608C">
        <w:rPr>
          <w:i/>
          <w:iCs/>
        </w:rPr>
        <w:t>Id.</w:t>
      </w:r>
      <w:r w:rsidR="001D608C">
        <w:t xml:space="preserve"> at 10</w:t>
      </w:r>
      <w:r w:rsidR="00BB70ED">
        <w:t xml:space="preserve"> (emphasis in original)</w:t>
      </w:r>
      <w:r w:rsidR="001D608C">
        <w:t>.</w:t>
      </w:r>
      <w:r w:rsidR="00D94C10">
        <w:t xml:space="preserve">  The Mailers assert that “[i]t is </w:t>
      </w:r>
      <w:r w:rsidR="00D94C10">
        <w:lastRenderedPageBreak/>
        <w:t xml:space="preserve">illogical and unreasonable both to accept a changed treatment and say that the principle has not changed.”  </w:t>
      </w:r>
      <w:r w:rsidR="006B7964">
        <w:rPr>
          <w:i/>
          <w:iCs/>
        </w:rPr>
        <w:t>Id.</w:t>
      </w:r>
      <w:r w:rsidR="00336B8B">
        <w:t xml:space="preserve">  The Mailers </w:t>
      </w:r>
      <w:r w:rsidR="006E0D8A">
        <w:t>state that the Postal Service has not requested a change in accepted analytical principle for the retiree health benefit normal costs</w:t>
      </w:r>
      <w:r w:rsidR="00A02BA9">
        <w:t>,</w:t>
      </w:r>
      <w:r w:rsidR="006E10D5">
        <w:t xml:space="preserve"> but because a change is being proposed in the Mailers’ view,</w:t>
      </w:r>
      <w:r w:rsidR="00A02BA9">
        <w:t xml:space="preserve"> the Postal Service should bear the burden </w:t>
      </w:r>
      <w:r w:rsidR="005A7958">
        <w:t xml:space="preserve">of </w:t>
      </w:r>
      <w:r w:rsidR="00F95C16">
        <w:t>advocating for a change.</w:t>
      </w:r>
      <w:r w:rsidR="005A7958">
        <w:t xml:space="preserve">  </w:t>
      </w:r>
      <w:r w:rsidR="005A7958">
        <w:rPr>
          <w:i/>
          <w:iCs/>
        </w:rPr>
        <w:t>Id.</w:t>
      </w:r>
      <w:r w:rsidR="006E10D5">
        <w:t xml:space="preserve">  Thus, the Mailers</w:t>
      </w:r>
      <w:r w:rsidR="00BB5776">
        <w:t xml:space="preserve"> allege that Order No.</w:t>
      </w:r>
      <w:r w:rsidR="005738DD">
        <w:t> </w:t>
      </w:r>
      <w:r w:rsidR="00BB5776">
        <w:t xml:space="preserve">6363 erred in requiring the Mailers, and not the Postal Service, to initiate a proceeding regarding </w:t>
      </w:r>
      <w:r w:rsidR="001D2B21">
        <w:t xml:space="preserve">the treatment of FY 2022 </w:t>
      </w:r>
      <w:r w:rsidR="00BB5776">
        <w:t>retiree health benefit normal costs</w:t>
      </w:r>
      <w:r w:rsidR="00C970AA">
        <w:t xml:space="preserve">.  </w:t>
      </w:r>
      <w:r w:rsidR="00C970AA">
        <w:rPr>
          <w:i/>
          <w:iCs/>
        </w:rPr>
        <w:t>Id.</w:t>
      </w:r>
      <w:r w:rsidR="00C970AA">
        <w:t xml:space="preserve"> at 10-11.</w:t>
      </w:r>
    </w:p>
    <w:p w14:paraId="1D789E8F" w14:textId="473A609D" w:rsidR="00E6583B" w:rsidRDefault="0007278D" w:rsidP="007512E8">
      <w:r>
        <w:t>The M</w:t>
      </w:r>
      <w:r w:rsidR="00A164CC">
        <w:t>ailers also argue that the PSRA provides no basis for abandoning the accepted analytical principle that retiree health benefit normal costs are accrued when earned</w:t>
      </w:r>
      <w:r w:rsidR="00E0053A">
        <w:t xml:space="preserve"> because the timing of funding is irrelevant to accrual accounting</w:t>
      </w:r>
      <w:r w:rsidR="00A164CC">
        <w:t xml:space="preserve">.  </w:t>
      </w:r>
      <w:r w:rsidR="00A164CC">
        <w:rPr>
          <w:i/>
          <w:iCs/>
        </w:rPr>
        <w:t>Id.</w:t>
      </w:r>
      <w:r w:rsidR="00A164CC">
        <w:t xml:space="preserve"> at 11.</w:t>
      </w:r>
      <w:r w:rsidR="00E0053A">
        <w:t xml:space="preserve">  </w:t>
      </w:r>
      <w:r w:rsidR="00E327C3">
        <w:t xml:space="preserve">Thus, the Mailers assert that the Postal Service and Order No. 6363 incorrectly </w:t>
      </w:r>
      <w:r w:rsidR="00315F6A">
        <w:t>contend that the PSRA changed postal cost accounting</w:t>
      </w:r>
      <w:r w:rsidR="00134530">
        <w:t xml:space="preserve"> because the legislation only amended how the retiree health benefits are funded</w:t>
      </w:r>
      <w:r w:rsidR="00315F6A">
        <w:t xml:space="preserve">.  </w:t>
      </w:r>
      <w:r w:rsidR="00315F6A">
        <w:rPr>
          <w:i/>
          <w:iCs/>
        </w:rPr>
        <w:t>Id.</w:t>
      </w:r>
      <w:r w:rsidR="00AC1FA0">
        <w:rPr>
          <w:i/>
          <w:iCs/>
        </w:rPr>
        <w:t xml:space="preserve">  </w:t>
      </w:r>
      <w:r w:rsidR="004928DD">
        <w:t xml:space="preserve">The Mailers assert that while Section 102 of the PSRA </w:t>
      </w:r>
      <w:r w:rsidR="007D7E0F">
        <w:t xml:space="preserve">altered </w:t>
      </w:r>
      <w:r w:rsidR="004A4DE5">
        <w:t>how the benefits are funded, it did not eliminate the cost</w:t>
      </w:r>
      <w:r w:rsidR="00864970">
        <w:t xml:space="preserve"> of retiree health benefit normal costs because </w:t>
      </w:r>
      <w:r w:rsidR="00A80C05">
        <w:t xml:space="preserve">those costs are incurred (and accrued) “daily as postal employees do their work, just as in past years.”  </w:t>
      </w:r>
      <w:r w:rsidR="00A80C05">
        <w:rPr>
          <w:i/>
          <w:iCs/>
        </w:rPr>
        <w:t>Id.</w:t>
      </w:r>
      <w:r w:rsidR="00A80C05">
        <w:t xml:space="preserve"> at 11-12.</w:t>
      </w:r>
      <w:r w:rsidR="003A511C">
        <w:t xml:space="preserve">  The Mailers further assert that </w:t>
      </w:r>
      <w:r w:rsidR="00D6779D">
        <w:t>“[</w:t>
      </w:r>
      <w:r w:rsidR="003A511C">
        <w:t>n</w:t>
      </w:r>
      <w:r w:rsidR="00D6779D">
        <w:t>]</w:t>
      </w:r>
      <w:proofErr w:type="spellStart"/>
      <w:r w:rsidR="003A511C">
        <w:t>othing</w:t>
      </w:r>
      <w:proofErr w:type="spellEnd"/>
      <w:r w:rsidR="003A511C">
        <w:t xml:space="preserve"> in the PSRA</w:t>
      </w:r>
      <w:r w:rsidR="00D6779D">
        <w:t xml:space="preserve"> changed the statutory definition of attributable costs or the statutory requirement that products cover their attributable costs based on reliably identified causal relationships.”  </w:t>
      </w:r>
      <w:r w:rsidR="00D6779D">
        <w:rPr>
          <w:i/>
          <w:iCs/>
        </w:rPr>
        <w:t>Id.</w:t>
      </w:r>
      <w:r w:rsidR="00D6779D">
        <w:t xml:space="preserve"> at 12.</w:t>
      </w:r>
    </w:p>
    <w:p w14:paraId="00961E85" w14:textId="502C9C8A" w:rsidR="007512E8" w:rsidRDefault="00F91BB8" w:rsidP="00800E38">
      <w:r>
        <w:t>The</w:t>
      </w:r>
      <w:r w:rsidR="007C5947">
        <w:t xml:space="preserve"> Mailers</w:t>
      </w:r>
      <w:r>
        <w:t xml:space="preserve"> </w:t>
      </w:r>
      <w:r w:rsidR="00B55CDC">
        <w:t xml:space="preserve">reiterate that the retiree health benefit normal costs have been accrued and attributed in a consistent manner for the past 14 years, including </w:t>
      </w:r>
      <w:r w:rsidR="004D4053">
        <w:t xml:space="preserve">years when payments were reduced and deferred by Congress and years when the Postal Service defaulted on them.  </w:t>
      </w:r>
      <w:r w:rsidR="004D4053">
        <w:rPr>
          <w:i/>
          <w:iCs/>
        </w:rPr>
        <w:t>Id.</w:t>
      </w:r>
      <w:r w:rsidR="004D4053">
        <w:t xml:space="preserve"> at 13.</w:t>
      </w:r>
      <w:r w:rsidR="00594E8F">
        <w:t xml:space="preserve">  They assert that Order No. 6363 reverses this long-standing practice</w:t>
      </w:r>
      <w:r w:rsidR="00F01287">
        <w:t xml:space="preserve"> “even though the benefits are still being earned and the costs incurred in the very same way”</w:t>
      </w:r>
      <w:r w:rsidR="00B86E7D">
        <w:t xml:space="preserve"> and that “[c]</w:t>
      </w:r>
      <w:proofErr w:type="spellStart"/>
      <w:r w:rsidR="00B86E7D">
        <w:t>osts</w:t>
      </w:r>
      <w:proofErr w:type="spellEnd"/>
      <w:r w:rsidR="00B86E7D">
        <w:t xml:space="preserve"> that are incurred annually in the normal course of operation do not flip from accrued to non-accrued and back . . . depending on whether </w:t>
      </w:r>
      <w:r w:rsidR="00CA145B">
        <w:t xml:space="preserve">OPM </w:t>
      </w:r>
      <w:r w:rsidR="009A2880">
        <w:t>deems an invoice necessary.”</w:t>
      </w:r>
      <w:r w:rsidR="00B86E7D">
        <w:t xml:space="preserve"> </w:t>
      </w:r>
      <w:r w:rsidR="00F01287">
        <w:t xml:space="preserve"> </w:t>
      </w:r>
      <w:r w:rsidR="00F01287">
        <w:rPr>
          <w:i/>
          <w:iCs/>
        </w:rPr>
        <w:t>Id.</w:t>
      </w:r>
      <w:r w:rsidR="003A511C">
        <w:t xml:space="preserve"> </w:t>
      </w:r>
      <w:r w:rsidR="00315F6A">
        <w:t xml:space="preserve"> </w:t>
      </w:r>
      <w:r w:rsidR="003D77F7">
        <w:t xml:space="preserve">They </w:t>
      </w:r>
      <w:r w:rsidR="00464F00">
        <w:t xml:space="preserve">further assert that </w:t>
      </w:r>
      <w:r w:rsidR="00114304">
        <w:t>the analytical principle</w:t>
      </w:r>
      <w:r w:rsidR="00DC4018">
        <w:t>s</w:t>
      </w:r>
      <w:r w:rsidR="00114304">
        <w:t xml:space="preserve"> identified in Order No. 6363 </w:t>
      </w:r>
      <w:r w:rsidR="00DC4018">
        <w:t xml:space="preserve">are </w:t>
      </w:r>
      <w:r w:rsidR="00114304">
        <w:t>inconsistent with th</w:t>
      </w:r>
      <w:r w:rsidR="00CE6E75">
        <w:t xml:space="preserve">e treatment the retiree </w:t>
      </w:r>
      <w:r w:rsidR="00CE6E75">
        <w:lastRenderedPageBreak/>
        <w:t xml:space="preserve">health benefit normal costs received in FY 2009 and FY 2011 when </w:t>
      </w:r>
      <w:r w:rsidR="0001798B">
        <w:t>Congress reduced the payment</w:t>
      </w:r>
      <w:r w:rsidR="00460297">
        <w:t xml:space="preserve"> amounts</w:t>
      </w:r>
      <w:r w:rsidR="0001798B">
        <w:t xml:space="preserve">, but </w:t>
      </w:r>
      <w:r w:rsidR="00CC0E2E">
        <w:t xml:space="preserve">the retiree health benefit </w:t>
      </w:r>
      <w:r w:rsidR="0001798B">
        <w:t xml:space="preserve">normal cost was calculated in the same way as other years.  </w:t>
      </w:r>
      <w:r w:rsidR="00812CE1">
        <w:rPr>
          <w:i/>
          <w:iCs/>
        </w:rPr>
        <w:t>Id.</w:t>
      </w:r>
      <w:r w:rsidR="00812CE1">
        <w:t xml:space="preserve"> at 13-14.</w:t>
      </w:r>
      <w:r w:rsidR="00F74B77">
        <w:t xml:space="preserve"> </w:t>
      </w:r>
      <w:r w:rsidR="00380EF6">
        <w:t xml:space="preserve"> </w:t>
      </w:r>
      <w:r w:rsidR="00D77601">
        <w:t xml:space="preserve">The Mailers also assert that </w:t>
      </w:r>
      <w:r w:rsidR="00072B5F">
        <w:t>the Postal Service’s FY 2022 Form 10-K</w:t>
      </w:r>
      <w:r w:rsidR="00A9698B">
        <w:t xml:space="preserve"> shows that the Postal Service accrued $4.4 billion in FY</w:t>
      </w:r>
      <w:r w:rsidR="00C66B62">
        <w:t> </w:t>
      </w:r>
      <w:r w:rsidR="00A9698B">
        <w:t>2022 retiree health benefit normal costs in its actuarial liability</w:t>
      </w:r>
      <w:r w:rsidR="00650483">
        <w:t>, which</w:t>
      </w:r>
      <w:r w:rsidR="00800E38">
        <w:t xml:space="preserve"> they claim</w:t>
      </w:r>
      <w:r w:rsidR="00650483">
        <w:t xml:space="preserve"> contradicts the contention that there are no retiree health benefit normal costs to accrue and attribute.</w:t>
      </w:r>
      <w:r w:rsidR="00800E38">
        <w:t xml:space="preserve">  </w:t>
      </w:r>
      <w:r w:rsidR="00800E38">
        <w:rPr>
          <w:i/>
          <w:iCs/>
        </w:rPr>
        <w:t>Id.</w:t>
      </w:r>
      <w:r w:rsidR="00800E38">
        <w:t xml:space="preserve"> at 15.</w:t>
      </w:r>
    </w:p>
    <w:p w14:paraId="7A8D3145" w14:textId="77D7A057" w:rsidR="009C379B" w:rsidRDefault="00644D64" w:rsidP="006C33C0">
      <w:r>
        <w:t xml:space="preserve">The Mailers </w:t>
      </w:r>
      <w:r w:rsidR="00643C58">
        <w:t>argue, in the alternative,</w:t>
      </w:r>
      <w:r>
        <w:t xml:space="preserve"> that if the Commission finds the current accepted analytical principle</w:t>
      </w:r>
      <w:r w:rsidR="009B38C8">
        <w:t>s</w:t>
      </w:r>
      <w:r>
        <w:t xml:space="preserve"> </w:t>
      </w:r>
      <w:r w:rsidR="00AC00D1">
        <w:t>permit</w:t>
      </w:r>
      <w:r>
        <w:t xml:space="preserve"> exclu</w:t>
      </w:r>
      <w:r w:rsidR="00AC00D1">
        <w:t>sion</w:t>
      </w:r>
      <w:r w:rsidR="000D72FA">
        <w:t xml:space="preserve"> and non-attribution</w:t>
      </w:r>
      <w:r w:rsidR="00AC00D1">
        <w:t xml:space="preserve"> of</w:t>
      </w:r>
      <w:r>
        <w:t xml:space="preserve"> retiree health benefit normal costs </w:t>
      </w:r>
      <w:r w:rsidR="00AC00D1">
        <w:t>when there is no required current year payment</w:t>
      </w:r>
      <w:r w:rsidR="00643C58">
        <w:t>, then the Commission should change the analytical principle</w:t>
      </w:r>
      <w:r w:rsidR="001F74A5">
        <w:t>s</w:t>
      </w:r>
      <w:r w:rsidR="00763D55">
        <w:t>.</w:t>
      </w:r>
      <w:r w:rsidR="00617994">
        <w:t xml:space="preserve">  </w:t>
      </w:r>
      <w:r w:rsidR="00617994">
        <w:rPr>
          <w:i/>
          <w:iCs/>
        </w:rPr>
        <w:t>Id.</w:t>
      </w:r>
      <w:r w:rsidR="00617994">
        <w:t xml:space="preserve"> at 16.</w:t>
      </w:r>
      <w:r w:rsidR="00763D55">
        <w:t xml:space="preserve">  </w:t>
      </w:r>
      <w:r w:rsidR="002D27CD">
        <w:t xml:space="preserve">The Mailers, thus, petition the Commission pursuant to 39 </w:t>
      </w:r>
      <w:r w:rsidR="00F0342B">
        <w:t>CFR</w:t>
      </w:r>
      <w:r w:rsidR="002D27CD">
        <w:t xml:space="preserve"> 3050.11</w:t>
      </w:r>
      <w:r w:rsidR="00617994">
        <w:t xml:space="preserve"> to change the accepted analytical principle</w:t>
      </w:r>
      <w:r w:rsidR="001F74A5">
        <w:t>s</w:t>
      </w:r>
      <w:r w:rsidR="00617994">
        <w:t xml:space="preserve"> for retiree health benefit normal costs if the motion for reconsideration portion of the Mailers’ Motion and Petition is not granted.  </w:t>
      </w:r>
      <w:r w:rsidR="00617994">
        <w:rPr>
          <w:i/>
          <w:iCs/>
        </w:rPr>
        <w:t>Id.</w:t>
      </w:r>
      <w:r w:rsidR="00617994">
        <w:t xml:space="preserve">  </w:t>
      </w:r>
      <w:r w:rsidR="008623A7">
        <w:t>The Mailers’ proposal (</w:t>
      </w:r>
      <w:r w:rsidR="008623A7">
        <w:rPr>
          <w:i/>
          <w:iCs/>
        </w:rPr>
        <w:t>i.e.</w:t>
      </w:r>
      <w:r w:rsidR="008623A7">
        <w:t xml:space="preserve">, NPPC et al. Proposal One) and the basis for the proposal are discussed in Section </w:t>
      </w:r>
      <w:r w:rsidR="007443EF">
        <w:t xml:space="preserve">V.A., </w:t>
      </w:r>
      <w:r w:rsidR="007443EF">
        <w:rPr>
          <w:i/>
          <w:iCs/>
        </w:rPr>
        <w:t>infra.</w:t>
      </w:r>
    </w:p>
    <w:p w14:paraId="6F0EFDEF" w14:textId="08FBB465" w:rsidR="00DB7745" w:rsidRPr="001617CB" w:rsidRDefault="00DB7745" w:rsidP="001617CB">
      <w:pPr>
        <w:pStyle w:val="Heading2"/>
        <w:numPr>
          <w:ilvl w:val="0"/>
          <w:numId w:val="17"/>
        </w:numPr>
        <w:ind w:hanging="720"/>
      </w:pPr>
      <w:r w:rsidRPr="001617CB">
        <w:t>Response</w:t>
      </w:r>
      <w:r w:rsidR="00293807" w:rsidRPr="001617CB">
        <w:t>s to the Mailers’ Motion and Petition</w:t>
      </w:r>
    </w:p>
    <w:p w14:paraId="65B4B39E" w14:textId="78AA451F" w:rsidR="003C7544" w:rsidRDefault="00247E91" w:rsidP="00BE1460">
      <w:r>
        <w:t>On January 4, 202</w:t>
      </w:r>
      <w:r w:rsidR="00056EDA">
        <w:t>3</w:t>
      </w:r>
      <w:r>
        <w:t xml:space="preserve">, the Postal </w:t>
      </w:r>
      <w:proofErr w:type="gramStart"/>
      <w:r>
        <w:t>Service</w:t>
      </w:r>
      <w:proofErr w:type="gramEnd"/>
      <w:r w:rsidR="005B0FB3">
        <w:t xml:space="preserve"> and the Package Shippers Association</w:t>
      </w:r>
      <w:r w:rsidR="00920719">
        <w:t xml:space="preserve"> (PSA)</w:t>
      </w:r>
      <w:r>
        <w:t xml:space="preserve"> filed response</w:t>
      </w:r>
      <w:r w:rsidR="005B0FB3">
        <w:t>s</w:t>
      </w:r>
      <w:r>
        <w:t xml:space="preserve"> to the Mailers’ Motion and Petition.</w:t>
      </w:r>
      <w:r>
        <w:rPr>
          <w:rStyle w:val="FootnoteReference"/>
        </w:rPr>
        <w:footnoteReference w:id="10"/>
      </w:r>
      <w:r w:rsidR="00D53AC1">
        <w:t xml:space="preserve">  </w:t>
      </w:r>
      <w:r w:rsidR="003C7544">
        <w:t>PSA supports the Mailers’ Motion and Petition</w:t>
      </w:r>
      <w:r w:rsidR="00520656">
        <w:t xml:space="preserve">, agreeing that FY 2022 retiree health benefit normal costs should be accrued and </w:t>
      </w:r>
      <w:r w:rsidR="00FD6701">
        <w:t xml:space="preserve">then </w:t>
      </w:r>
      <w:r w:rsidR="00520656">
        <w:t xml:space="preserve">attributed to </w:t>
      </w:r>
      <w:r w:rsidR="00FD6701">
        <w:t>products in the same proportions as direct labor costs</w:t>
      </w:r>
      <w:r w:rsidR="004D639D">
        <w:t xml:space="preserve"> and </w:t>
      </w:r>
      <w:r w:rsidR="00452220">
        <w:t xml:space="preserve">asserting </w:t>
      </w:r>
      <w:r w:rsidR="004D639D">
        <w:t>that this is the same methodology that has been applied to these costs since 2006.</w:t>
      </w:r>
      <w:r w:rsidR="00452220">
        <w:t xml:space="preserve">  PSA Response at 1.</w:t>
      </w:r>
      <w:r w:rsidR="00221584">
        <w:t xml:space="preserve">  PSA acknowledges that the PSRA changed when the </w:t>
      </w:r>
      <w:r w:rsidR="00221584">
        <w:lastRenderedPageBreak/>
        <w:t>Postal Service makes payments</w:t>
      </w:r>
      <w:r w:rsidR="00892D26">
        <w:t xml:space="preserve"> for retiree health benefit costs</w:t>
      </w:r>
      <w:r w:rsidR="009427FC">
        <w:t xml:space="preserve"> but asserts that </w:t>
      </w:r>
      <w:r w:rsidR="00030C23">
        <w:t>the PSRA</w:t>
      </w:r>
      <w:r w:rsidR="009427FC">
        <w:t xml:space="preserve"> </w:t>
      </w:r>
      <w:r w:rsidR="00030C23">
        <w:t>did</w:t>
      </w:r>
      <w:r w:rsidR="00C65D53">
        <w:t xml:space="preserve"> not</w:t>
      </w:r>
      <w:r w:rsidR="009427FC">
        <w:t xml:space="preserve"> “address cost accrual principles generally or the causality-based cost attribution requirements</w:t>
      </w:r>
      <w:r w:rsidR="00865B2C">
        <w:t>,” which</w:t>
      </w:r>
      <w:r w:rsidR="00191B11">
        <w:t xml:space="preserve"> it believes</w:t>
      </w:r>
      <w:r w:rsidR="00F96268">
        <w:t xml:space="preserve"> </w:t>
      </w:r>
      <w:r w:rsidR="00DC3897">
        <w:t>necessitate</w:t>
      </w:r>
      <w:r w:rsidR="003D7E21">
        <w:t xml:space="preserve"> that</w:t>
      </w:r>
      <w:r w:rsidR="00F96268">
        <w:t xml:space="preserve"> FY 2022 retiree health benefit normal costs be accrued</w:t>
      </w:r>
      <w:r w:rsidR="003D7E21">
        <w:t xml:space="preserve"> and attributed</w:t>
      </w:r>
      <w:r w:rsidR="00F96268">
        <w:t>.</w:t>
      </w:r>
      <w:r w:rsidR="00DC3897">
        <w:t xml:space="preserve">  </w:t>
      </w:r>
      <w:r w:rsidR="00DC3897">
        <w:rPr>
          <w:i/>
          <w:iCs/>
        </w:rPr>
        <w:t>Id.</w:t>
      </w:r>
      <w:r w:rsidR="00DC3897">
        <w:t xml:space="preserve"> at 1-2.</w:t>
      </w:r>
      <w:r w:rsidR="00951BD4">
        <w:t xml:space="preserve">  Like the Mailers, PSA cites to the Postal Service’s comments in Docket No. R</w:t>
      </w:r>
      <w:r w:rsidR="007D056C">
        <w:t>M2007-1</w:t>
      </w:r>
      <w:r w:rsidR="00951BD4">
        <w:t>,</w:t>
      </w:r>
      <w:r w:rsidR="003A60AF">
        <w:t xml:space="preserve"> which it asserts show </w:t>
      </w:r>
      <w:r w:rsidR="00EA0929">
        <w:t>that</w:t>
      </w:r>
      <w:r w:rsidR="008F672B">
        <w:t xml:space="preserve"> how</w:t>
      </w:r>
      <w:r w:rsidR="00EA0929">
        <w:t xml:space="preserve"> </w:t>
      </w:r>
      <w:r w:rsidR="00563172">
        <w:t xml:space="preserve">retiree health benefit normal costs </w:t>
      </w:r>
      <w:r w:rsidR="008F672B">
        <w:t xml:space="preserve">are incurred </w:t>
      </w:r>
      <w:r w:rsidR="00B43CA9">
        <w:t>should not be linked to payment schedules and</w:t>
      </w:r>
      <w:r w:rsidR="00062E9E">
        <w:t xml:space="preserve"> that such normal costs</w:t>
      </w:r>
      <w:r w:rsidR="00B43CA9">
        <w:t xml:space="preserve"> </w:t>
      </w:r>
      <w:r w:rsidR="00563172">
        <w:t xml:space="preserve">“have been accrued and attributed . . . in the year in which they were incurred since the enactment of the PAEA.”  </w:t>
      </w:r>
      <w:r w:rsidR="00B43CA9">
        <w:rPr>
          <w:i/>
          <w:iCs/>
        </w:rPr>
        <w:t>Id.</w:t>
      </w:r>
      <w:r w:rsidR="00B43CA9">
        <w:t xml:space="preserve"> at 2.</w:t>
      </w:r>
      <w:r w:rsidR="00062E9E">
        <w:t xml:space="preserve">  PSA also echoes the Mailers’ assertion that the</w:t>
      </w:r>
      <w:r w:rsidR="00241076">
        <w:t xml:space="preserve"> PSRA’s changes </w:t>
      </w:r>
      <w:r w:rsidR="005A2FFC">
        <w:t xml:space="preserve">are not a sufficient reason to </w:t>
      </w:r>
      <w:r w:rsidR="00D95B77">
        <w:t xml:space="preserve">change the established approach and similarly points to </w:t>
      </w:r>
      <w:r w:rsidR="0071579F">
        <w:t xml:space="preserve">FY 2011 </w:t>
      </w:r>
      <w:r w:rsidR="00FF46E1">
        <w:t xml:space="preserve">when payments were deferred </w:t>
      </w:r>
      <w:r w:rsidR="0047210C">
        <w:t>but retiree health benefit normal cost</w:t>
      </w:r>
      <w:r w:rsidR="00B40F94">
        <w:t>s</w:t>
      </w:r>
      <w:r w:rsidR="0047210C">
        <w:t xml:space="preserve"> still accrued</w:t>
      </w:r>
      <w:r w:rsidR="00BD02CC">
        <w:t xml:space="preserve"> as an example of the accepted methodology.  </w:t>
      </w:r>
      <w:r w:rsidR="00BD02CC">
        <w:rPr>
          <w:i/>
          <w:iCs/>
        </w:rPr>
        <w:t>Id.</w:t>
      </w:r>
      <w:r w:rsidR="00BD02CC">
        <w:t xml:space="preserve"> at 2-3.</w:t>
      </w:r>
      <w:r w:rsidR="00930DF8">
        <w:t xml:space="preserve">  PSA </w:t>
      </w:r>
      <w:r w:rsidR="00685100">
        <w:t>further assert</w:t>
      </w:r>
      <w:r w:rsidR="00F30CD3">
        <w:t>s</w:t>
      </w:r>
      <w:r w:rsidR="00685100">
        <w:t xml:space="preserve"> that “[t]his approach of accruing and attributing [retiree health benefit] normal costs is the only approach that complies with the statutory causation-based costing requirements”</w:t>
      </w:r>
      <w:r w:rsidR="000A6AFA">
        <w:t xml:space="preserve"> as “the statute . . . requires that costs with a reliably identified causal relationship to a specific product be attributed to that product.”  </w:t>
      </w:r>
      <w:r w:rsidR="000A6AFA">
        <w:rPr>
          <w:i/>
          <w:iCs/>
        </w:rPr>
        <w:t>Id.</w:t>
      </w:r>
      <w:r w:rsidR="000A6AFA">
        <w:t xml:space="preserve"> at 3.</w:t>
      </w:r>
      <w:r w:rsidR="00514CE7">
        <w:t xml:space="preserve">  PSA states that retiree health benefit normal costs have long been attributed to products</w:t>
      </w:r>
      <w:r w:rsidR="008818CF">
        <w:t>, and that such costs in FY 2022 are not less caused by products than in prior years</w:t>
      </w:r>
      <w:r w:rsidR="00922E32">
        <w:t xml:space="preserve"> and therefore cannot be excluded from attribution.  </w:t>
      </w:r>
      <w:r w:rsidR="0019518A">
        <w:rPr>
          <w:i/>
          <w:iCs/>
        </w:rPr>
        <w:t>Id.</w:t>
      </w:r>
      <w:r w:rsidR="0019518A">
        <w:t xml:space="preserve"> at</w:t>
      </w:r>
      <w:r w:rsidR="003E7780">
        <w:t> </w:t>
      </w:r>
      <w:r w:rsidR="0019518A">
        <w:t>3</w:t>
      </w:r>
      <w:r w:rsidR="003E7780">
        <w:noBreakHyphen/>
      </w:r>
      <w:r w:rsidR="0019518A">
        <w:t>4.</w:t>
      </w:r>
    </w:p>
    <w:p w14:paraId="5116624A" w14:textId="7A59F6FA" w:rsidR="009E5D43" w:rsidRDefault="00652EE7" w:rsidP="00F00CCE">
      <w:r>
        <w:t>The Postal Service opposes both the request for reconsideration of Order No.</w:t>
      </w:r>
      <w:r w:rsidR="003E7780">
        <w:t> </w:t>
      </w:r>
      <w:r>
        <w:t xml:space="preserve">6363 and the alternative request to adopt </w:t>
      </w:r>
      <w:r w:rsidR="002A2847">
        <w:t>NPPC et al. Proposal One.  Postal Service Response at 1.</w:t>
      </w:r>
      <w:r w:rsidR="000124FC">
        <w:t xml:space="preserve">  With respect to the request for reconsideration, the Postal Service </w:t>
      </w:r>
      <w:r w:rsidR="001A3056">
        <w:t xml:space="preserve">states that request is not justified under 39 CFR 3010.165 because </w:t>
      </w:r>
      <w:r w:rsidR="00102B6B">
        <w:t>the Commission committed no material errors of fact or law in identifying the accepted analytical principle</w:t>
      </w:r>
      <w:r w:rsidR="008E52EF">
        <w:t>s</w:t>
      </w:r>
      <w:r w:rsidR="00102B6B">
        <w:t xml:space="preserve"> in Order No. 6363</w:t>
      </w:r>
      <w:r w:rsidR="00987180">
        <w:t xml:space="preserve"> and the Mailers had adequate prior opportunity to submit arguments </w:t>
      </w:r>
      <w:r w:rsidR="00CD6A28">
        <w:t xml:space="preserve">on this issue.  </w:t>
      </w:r>
      <w:r w:rsidR="00CD6A28">
        <w:rPr>
          <w:i/>
          <w:iCs/>
        </w:rPr>
        <w:t>Id.</w:t>
      </w:r>
      <w:r w:rsidR="00CD6A28">
        <w:t xml:space="preserve"> at 2.  The Postal Service argues that the </w:t>
      </w:r>
      <w:r w:rsidR="00DA1DA8">
        <w:t xml:space="preserve">Commission should deny the </w:t>
      </w:r>
      <w:r w:rsidR="00F3438E">
        <w:t>request for consideration</w:t>
      </w:r>
      <w:r w:rsidR="007B72EA">
        <w:t xml:space="preserve"> and proceed to the merits of resolving what analytical principle</w:t>
      </w:r>
      <w:r w:rsidR="00502B2F">
        <w:t>s</w:t>
      </w:r>
      <w:r w:rsidR="007B72EA">
        <w:t xml:space="preserve"> should apply in FY 2022 and future years </w:t>
      </w:r>
      <w:proofErr w:type="gramStart"/>
      <w:r w:rsidR="007B72EA">
        <w:t>with regard to</w:t>
      </w:r>
      <w:proofErr w:type="gramEnd"/>
      <w:r w:rsidR="007B72EA">
        <w:t xml:space="preserve"> retiree health benefit normal costs</w:t>
      </w:r>
      <w:r w:rsidR="001E3A3F">
        <w:t xml:space="preserve">.  </w:t>
      </w:r>
      <w:r w:rsidR="001E3A3F">
        <w:rPr>
          <w:i/>
          <w:iCs/>
        </w:rPr>
        <w:t>Id.</w:t>
      </w:r>
      <w:r w:rsidR="001E3A3F">
        <w:t xml:space="preserve"> at 2-3.</w:t>
      </w:r>
      <w:r w:rsidR="00BF0DDB">
        <w:t xml:space="preserve">  The Postal Service </w:t>
      </w:r>
      <w:r w:rsidR="000804A7">
        <w:t>asserts that</w:t>
      </w:r>
      <w:r w:rsidR="008A3838">
        <w:t xml:space="preserve"> </w:t>
      </w:r>
      <w:r w:rsidR="008A3838">
        <w:lastRenderedPageBreak/>
        <w:t xml:space="preserve">Order No. 6363 was correct in finding that </w:t>
      </w:r>
      <w:r w:rsidR="009A7617">
        <w:t>the accepted methodolog</w:t>
      </w:r>
      <w:r w:rsidR="006E791E">
        <w:t>y</w:t>
      </w:r>
      <w:r w:rsidR="009A7617">
        <w:t xml:space="preserve"> do</w:t>
      </w:r>
      <w:r w:rsidR="006E791E">
        <w:t>es</w:t>
      </w:r>
      <w:r w:rsidR="009A7617">
        <w:t xml:space="preserve"> not require the inclusion of costs that are not incurred by the Postal Service</w:t>
      </w:r>
      <w:r w:rsidR="00044A6D">
        <w:t xml:space="preserve"> and</w:t>
      </w:r>
      <w:r w:rsidR="002D49F4">
        <w:t xml:space="preserve"> further asserts</w:t>
      </w:r>
      <w:r w:rsidR="00044A6D">
        <w:t xml:space="preserve"> that the Mailers’ approach </w:t>
      </w:r>
      <w:r w:rsidR="00064011">
        <w:t xml:space="preserve">has “an insurmountable impediment” because </w:t>
      </w:r>
      <w:r w:rsidR="009A37BA">
        <w:t>it</w:t>
      </w:r>
      <w:r w:rsidR="00064011">
        <w:t xml:space="preserve"> seek</w:t>
      </w:r>
      <w:r w:rsidR="009A37BA">
        <w:t>s</w:t>
      </w:r>
      <w:r w:rsidR="00064011">
        <w:t xml:space="preserve"> to attribute </w:t>
      </w:r>
      <w:r w:rsidR="00914F7C">
        <w:t xml:space="preserve">costs where the </w:t>
      </w:r>
      <w:r w:rsidR="00516EA5">
        <w:t>actual entry for that component</w:t>
      </w:r>
      <w:r w:rsidR="00CA6AEC">
        <w:t xml:space="preserve"> </w:t>
      </w:r>
      <w:r w:rsidR="00516EA5">
        <w:t>is zero</w:t>
      </w:r>
      <w:r w:rsidR="001611B2">
        <w:t>,</w:t>
      </w:r>
      <w:r w:rsidR="00516EA5">
        <w:t xml:space="preserve"> and with </w:t>
      </w:r>
      <w:r w:rsidR="00960210">
        <w:t>zero normal costs recorded in FY 2022</w:t>
      </w:r>
      <w:r w:rsidR="008F5E8C">
        <w:t xml:space="preserve">, “there are no costs to apportion between attributable and institutional.”  </w:t>
      </w:r>
      <w:r w:rsidR="008F5E8C">
        <w:rPr>
          <w:i/>
          <w:iCs/>
        </w:rPr>
        <w:t>Id.</w:t>
      </w:r>
      <w:r w:rsidR="008F5E8C">
        <w:t xml:space="preserve"> at 3-4.</w:t>
      </w:r>
      <w:r w:rsidR="00CA6AEC">
        <w:t xml:space="preserve">  The Postal Service </w:t>
      </w:r>
      <w:r w:rsidR="00CF0513">
        <w:t>states that</w:t>
      </w:r>
      <w:r w:rsidR="005B5323">
        <w:t xml:space="preserve"> this</w:t>
      </w:r>
      <w:r w:rsidR="00CF0513">
        <w:t xml:space="preserve"> is confirmed by language in the FY 2021 </w:t>
      </w:r>
      <w:r w:rsidR="00A16C1D">
        <w:t>C</w:t>
      </w:r>
      <w:r w:rsidR="00CF0513">
        <w:t xml:space="preserve">ost </w:t>
      </w:r>
      <w:r w:rsidR="00A16C1D">
        <w:t>S</w:t>
      </w:r>
      <w:r w:rsidR="00CF0513">
        <w:t>egment 18 summary descr</w:t>
      </w:r>
      <w:r w:rsidR="003076D3">
        <w:t xml:space="preserve">iption.  </w:t>
      </w:r>
      <w:r w:rsidR="003076D3">
        <w:rPr>
          <w:i/>
          <w:iCs/>
        </w:rPr>
        <w:t>Id.</w:t>
      </w:r>
      <w:r w:rsidR="003076D3">
        <w:t xml:space="preserve"> at 4.</w:t>
      </w:r>
      <w:r w:rsidR="002340DB">
        <w:t xml:space="preserve">  </w:t>
      </w:r>
      <w:r w:rsidR="005B5323">
        <w:t xml:space="preserve">The Postal Service </w:t>
      </w:r>
      <w:r w:rsidR="002340DB">
        <w:t xml:space="preserve">acknowledges that the Mailers </w:t>
      </w:r>
      <w:r w:rsidR="007130F9">
        <w:t xml:space="preserve">“wish to dispute whether or not the entry </w:t>
      </w:r>
      <w:r w:rsidR="00164A6D">
        <w:t>.</w:t>
      </w:r>
      <w:r w:rsidR="007130F9">
        <w:t xml:space="preserve"> </w:t>
      </w:r>
      <w:r w:rsidR="00164A6D">
        <w:t xml:space="preserve">. . </w:t>
      </w:r>
      <w:r w:rsidR="007130F9">
        <w:t xml:space="preserve">should be zero in FY 2022” but </w:t>
      </w:r>
      <w:r w:rsidR="009677A2">
        <w:t>asserts that this issue is properly addressed in an evaluation of NPPC et al. Proposal One</w:t>
      </w:r>
      <w:r w:rsidR="003577DB">
        <w:t xml:space="preserve"> rather than through reconsideration of Order No. 6363.</w:t>
      </w:r>
      <w:r w:rsidR="003577DB">
        <w:rPr>
          <w:i/>
          <w:iCs/>
        </w:rPr>
        <w:t xml:space="preserve">  Id.</w:t>
      </w:r>
    </w:p>
    <w:p w14:paraId="062EEEDF" w14:textId="31FA4DBF" w:rsidR="00221E4C" w:rsidRDefault="00744324" w:rsidP="001509C2">
      <w:r>
        <w:t>The Postal Service contends that NPPC et al. Proposal One should be rejected</w:t>
      </w:r>
      <w:r w:rsidR="000C3C63">
        <w:t xml:space="preserve"> on the merits</w:t>
      </w:r>
      <w:r>
        <w:t>.</w:t>
      </w:r>
      <w:r w:rsidR="00896256">
        <w:t xml:space="preserve">  The Postal Service </w:t>
      </w:r>
      <w:r w:rsidR="003E58E3">
        <w:t>objects to the Mailers’ contention that the PSRA should not have any effect on normal cost accruals and attribution in FY 2022</w:t>
      </w:r>
      <w:r w:rsidR="00722DBB">
        <w:t xml:space="preserve"> and argues that th</w:t>
      </w:r>
      <w:r w:rsidR="00F51CFC">
        <w:t>e Mailers’ proposed approach</w:t>
      </w:r>
      <w:r w:rsidR="00722DBB">
        <w:t xml:space="preserve"> runs afoul of Congressional intent.  </w:t>
      </w:r>
      <w:r w:rsidR="00722DBB">
        <w:rPr>
          <w:i/>
          <w:iCs/>
        </w:rPr>
        <w:t>Id.</w:t>
      </w:r>
      <w:r w:rsidR="00722DBB">
        <w:t xml:space="preserve"> at 5</w:t>
      </w:r>
      <w:r w:rsidR="007165B5">
        <w:t>, 7</w:t>
      </w:r>
      <w:r w:rsidR="00722DBB">
        <w:t>.</w:t>
      </w:r>
      <w:r w:rsidR="00B14E27">
        <w:t xml:space="preserve">  Specifically, the Postal Service </w:t>
      </w:r>
      <w:r w:rsidR="007165B5">
        <w:t>argues that “[t]he PSRA changes in fact bear directly on how [retiree health benefit]</w:t>
      </w:r>
      <w:r w:rsidR="001509C2">
        <w:t xml:space="preserve"> costs must be treated</w:t>
      </w:r>
      <w:r w:rsidR="00B232E2">
        <w:t xml:space="preserve">” because the PSRA reversed key </w:t>
      </w:r>
      <w:r w:rsidR="00C96E4B">
        <w:t xml:space="preserve">PAEA </w:t>
      </w:r>
      <w:r w:rsidR="00B232E2">
        <w:t xml:space="preserve">provisions relating to </w:t>
      </w:r>
      <w:r w:rsidR="00C96E4B">
        <w:t xml:space="preserve">retiree health benefits.  </w:t>
      </w:r>
      <w:r w:rsidR="00C96E4B">
        <w:rPr>
          <w:i/>
          <w:iCs/>
        </w:rPr>
        <w:t xml:space="preserve">Id. </w:t>
      </w:r>
      <w:r w:rsidR="00C96E4B">
        <w:t>at 7.  The Postal Service explains</w:t>
      </w:r>
      <w:r w:rsidR="00FF24B9">
        <w:t xml:space="preserve"> that the PAEA required prefunding of future retiree health benefit normal costs</w:t>
      </w:r>
      <w:r w:rsidR="002C0813">
        <w:t xml:space="preserve"> and that the PSRA </w:t>
      </w:r>
      <w:r w:rsidR="00D21881">
        <w:t>eliminated this requir</w:t>
      </w:r>
      <w:r w:rsidR="00F205C5">
        <w:t>ement</w:t>
      </w:r>
      <w:r w:rsidR="00D21881">
        <w:t xml:space="preserve">, switching back to the pre-PAEA pay-as-you-go approach to </w:t>
      </w:r>
      <w:r w:rsidR="00233E6B">
        <w:t xml:space="preserve">paying for these costs.  </w:t>
      </w:r>
      <w:r w:rsidR="00233E6B">
        <w:rPr>
          <w:i/>
          <w:iCs/>
        </w:rPr>
        <w:t>Id.</w:t>
      </w:r>
      <w:r w:rsidR="00233E6B">
        <w:t xml:space="preserve"> at 7-8.</w:t>
      </w:r>
      <w:r w:rsidR="00355BCD">
        <w:t xml:space="preserve">  The Postal Service cites to the House Report accompanying the PSRA as affirming this.  </w:t>
      </w:r>
      <w:r w:rsidR="00E03F33">
        <w:rPr>
          <w:i/>
          <w:iCs/>
        </w:rPr>
        <w:t>Id.</w:t>
      </w:r>
      <w:r w:rsidR="00E03F33">
        <w:t xml:space="preserve"> at 8-9.</w:t>
      </w:r>
      <w:r w:rsidR="00274CC1">
        <w:t xml:space="preserve">  The Postal Service emphasizes that </w:t>
      </w:r>
      <w:r w:rsidR="00695F18">
        <w:t xml:space="preserve">“a cost at its essence consists of an amount someone is </w:t>
      </w:r>
      <w:r w:rsidR="00695F18">
        <w:rPr>
          <w:u w:val="single"/>
        </w:rPr>
        <w:t>required</w:t>
      </w:r>
      <w:r w:rsidR="00695F18">
        <w:t xml:space="preserve"> to pay”</w:t>
      </w:r>
      <w:r w:rsidR="001932EA">
        <w:t xml:space="preserve"> and argues that the Commission should continue to recognize the limitations of a strictly “economic” approach to costing </w:t>
      </w:r>
      <w:r w:rsidR="003E5464">
        <w:t>when “disparities between theoretical ‘economic’ costs and booked ‘accounting’ costs” exist.</w:t>
      </w:r>
      <w:r w:rsidR="00D30E46">
        <w:t>”</w:t>
      </w:r>
      <w:r w:rsidR="003E5464">
        <w:t xml:space="preserve">  </w:t>
      </w:r>
      <w:r w:rsidR="006D693A">
        <w:rPr>
          <w:i/>
          <w:iCs/>
        </w:rPr>
        <w:t>Id.</w:t>
      </w:r>
      <w:r w:rsidR="006D693A">
        <w:t xml:space="preserve"> at 9</w:t>
      </w:r>
      <w:r w:rsidR="00075151">
        <w:t xml:space="preserve"> (emphasis in original)</w:t>
      </w:r>
      <w:r w:rsidR="006D693A">
        <w:t>.</w:t>
      </w:r>
    </w:p>
    <w:p w14:paraId="77BF423A" w14:textId="578B0C8A" w:rsidR="00CC1602" w:rsidRDefault="00CC1602" w:rsidP="001509C2">
      <w:r>
        <w:t>The Postal Service specifically takes issue with the Mailers’</w:t>
      </w:r>
      <w:r w:rsidR="00CA145B">
        <w:t xml:space="preserve"> assertion that </w:t>
      </w:r>
      <w:r w:rsidR="00803CF3">
        <w:t>“[c]</w:t>
      </w:r>
      <w:proofErr w:type="spellStart"/>
      <w:r w:rsidR="00803CF3">
        <w:t>osts</w:t>
      </w:r>
      <w:proofErr w:type="spellEnd"/>
      <w:r w:rsidR="00803CF3">
        <w:t xml:space="preserve"> that are incurred annually in the normal course of operation do not flip from accrued to non-accrued and back . . . depending on whether OPM deems an invoice necessary.”  </w:t>
      </w:r>
      <w:r w:rsidR="00803CF3">
        <w:rPr>
          <w:i/>
          <w:iCs/>
        </w:rPr>
        <w:t xml:space="preserve">Id. </w:t>
      </w:r>
      <w:r w:rsidR="00803CF3">
        <w:t xml:space="preserve">at 10 (citing Mailers’ Motion and Petition at 13).  The Postal Service </w:t>
      </w:r>
      <w:r w:rsidR="00803CF3">
        <w:lastRenderedPageBreak/>
        <w:t xml:space="preserve">argues </w:t>
      </w:r>
      <w:r w:rsidR="009D3F42">
        <w:t xml:space="preserve">that the format in which OPM conveys payment information is not necessarily dispositive, but </w:t>
      </w:r>
      <w:r w:rsidR="00503527">
        <w:t>“‘[e]</w:t>
      </w:r>
      <w:proofErr w:type="spellStart"/>
      <w:r w:rsidR="00503527">
        <w:t>conomic</w:t>
      </w:r>
      <w:proofErr w:type="spellEnd"/>
      <w:r w:rsidR="00503527">
        <w:t>’</w:t>
      </w:r>
      <w:r w:rsidR="00EF5A56">
        <w:t xml:space="preserve"> costs can indeed flip back and forth from accrued to non</w:t>
      </w:r>
      <w:r w:rsidR="00860E99">
        <w:noBreakHyphen/>
      </w:r>
      <w:r w:rsidR="00EF5A56">
        <w:t xml:space="preserve">accrued depending on whether </w:t>
      </w:r>
      <w:r w:rsidR="00A82A68">
        <w:rPr>
          <w:u w:val="single"/>
        </w:rPr>
        <w:t>Congress</w:t>
      </w:r>
      <w:r w:rsidR="00A82A68">
        <w:t xml:space="preserve"> through legislation deems payment to be </w:t>
      </w:r>
      <w:r w:rsidR="00A82A68">
        <w:rPr>
          <w:u w:val="single"/>
        </w:rPr>
        <w:t>required</w:t>
      </w:r>
      <w:r w:rsidR="00A82A68">
        <w:t xml:space="preserve"> or not (which, in turn, is what </w:t>
      </w:r>
      <w:r w:rsidR="006D1BD7">
        <w:t xml:space="preserve">will determine whether OPM issues an invoice or not).”  </w:t>
      </w:r>
      <w:r w:rsidR="006D1BD7">
        <w:rPr>
          <w:i/>
          <w:iCs/>
        </w:rPr>
        <w:t>Id.</w:t>
      </w:r>
      <w:r w:rsidR="006D1BD7">
        <w:t xml:space="preserve"> </w:t>
      </w:r>
      <w:r w:rsidR="005A27E6">
        <w:t xml:space="preserve">(emphasis in original). </w:t>
      </w:r>
      <w:r w:rsidR="006D1BD7">
        <w:t xml:space="preserve"> </w:t>
      </w:r>
      <w:r w:rsidR="00B67912">
        <w:t>The Postal Service</w:t>
      </w:r>
      <w:r w:rsidR="001B7B9D">
        <w:t xml:space="preserve"> asserts that </w:t>
      </w:r>
      <w:r w:rsidR="00E62DEC">
        <w:t>“[w]</w:t>
      </w:r>
      <w:proofErr w:type="spellStart"/>
      <w:r w:rsidR="00E62DEC">
        <w:t>ith</w:t>
      </w:r>
      <w:proofErr w:type="spellEnd"/>
      <w:r w:rsidR="00E62DEC">
        <w:t xml:space="preserve"> respect to [retiree health benefit] costs, such flipping has occurred several times in the past” and </w:t>
      </w:r>
      <w:r w:rsidR="009704B5">
        <w:t xml:space="preserve">outlines </w:t>
      </w:r>
      <w:r w:rsidR="004A6707">
        <w:t>the legislative</w:t>
      </w:r>
      <w:r w:rsidR="009704B5">
        <w:t xml:space="preserve"> history </w:t>
      </w:r>
      <w:r w:rsidR="004A6707">
        <w:t>of</w:t>
      </w:r>
      <w:r w:rsidR="009704B5">
        <w:t xml:space="preserve"> varying payment requirements for retiree health benefits.  </w:t>
      </w:r>
      <w:r w:rsidR="009704B5">
        <w:rPr>
          <w:i/>
          <w:iCs/>
        </w:rPr>
        <w:t>Id.</w:t>
      </w:r>
      <w:r w:rsidR="009704B5">
        <w:t xml:space="preserve"> at 10-11.</w:t>
      </w:r>
      <w:r w:rsidR="00EB090D">
        <w:t xml:space="preserve">  The Postal Service argue</w:t>
      </w:r>
      <w:r w:rsidR="0085390D">
        <w:t>s</w:t>
      </w:r>
      <w:r w:rsidR="00EB090D">
        <w:t xml:space="preserve"> that “[e]</w:t>
      </w:r>
      <w:proofErr w:type="spellStart"/>
      <w:r w:rsidR="00EB090D">
        <w:t>ach</w:t>
      </w:r>
      <w:proofErr w:type="spellEnd"/>
      <w:r w:rsidR="00EB090D">
        <w:t xml:space="preserve"> of these changes directly affected cost accruals by virtue of changing the nature or scope of the obligations</w:t>
      </w:r>
      <w:r w:rsidR="00E52F2F">
        <w:t xml:space="preserve"> that Congress was imposing on the Postal Service, and the PSRA is no exception, regardless of how adamantly Mailers </w:t>
      </w:r>
      <w:proofErr w:type="gramStart"/>
      <w:r w:rsidR="00E52F2F">
        <w:t>insist[</w:t>
      </w:r>
      <w:proofErr w:type="gramEnd"/>
      <w:r w:rsidR="00E52F2F">
        <w:t xml:space="preserve">] that it is.”  </w:t>
      </w:r>
      <w:r w:rsidR="007624EB">
        <w:rPr>
          <w:i/>
          <w:iCs/>
        </w:rPr>
        <w:t>Id.</w:t>
      </w:r>
      <w:r w:rsidR="007624EB">
        <w:t xml:space="preserve"> at 11.</w:t>
      </w:r>
      <w:r w:rsidR="005263DF">
        <w:t xml:space="preserve">  The Postal Service emphasizes that </w:t>
      </w:r>
      <w:r w:rsidR="00A739D4">
        <w:t xml:space="preserve">under the PSRA, it “is at this time under </w:t>
      </w:r>
      <w:r w:rsidR="00A739D4">
        <w:rPr>
          <w:i/>
          <w:iCs/>
        </w:rPr>
        <w:t>no</w:t>
      </w:r>
      <w:r w:rsidR="00A739D4">
        <w:t xml:space="preserve"> type of obligation to make prefunding payments reflecting those normal costs</w:t>
      </w:r>
      <w:r w:rsidR="000A6C9F">
        <w:t xml:space="preserve">” and that NPPC et al. Proposal One </w:t>
      </w:r>
      <w:r w:rsidR="00262AA2">
        <w:t xml:space="preserve">does not justify </w:t>
      </w:r>
      <w:r w:rsidR="000A6C9F">
        <w:t>a change in the analytic</w:t>
      </w:r>
      <w:r w:rsidR="001C274A">
        <w:t>al</w:t>
      </w:r>
      <w:r w:rsidR="000A6C9F">
        <w:t xml:space="preserve"> principle</w:t>
      </w:r>
      <w:r w:rsidR="004A6BD4">
        <w:t>s</w:t>
      </w:r>
      <w:r w:rsidR="00262AA2">
        <w:t xml:space="preserve"> to require</w:t>
      </w:r>
      <w:r w:rsidR="000A6C9F">
        <w:t xml:space="preserve"> that costs that are not incurred be included in </w:t>
      </w:r>
      <w:r w:rsidR="00C30AF6">
        <w:t>either the financial or regulatory reporting.</w:t>
      </w:r>
      <w:r w:rsidR="00BE0074">
        <w:t xml:space="preserve">  </w:t>
      </w:r>
      <w:r w:rsidR="00BE0074">
        <w:rPr>
          <w:i/>
          <w:iCs/>
        </w:rPr>
        <w:t>Id.</w:t>
      </w:r>
      <w:r w:rsidR="00BE0074">
        <w:t xml:space="preserve"> (emphasis in original).</w:t>
      </w:r>
    </w:p>
    <w:p w14:paraId="2C481156" w14:textId="4166DFA8" w:rsidR="008D4615" w:rsidRDefault="00307A0F" w:rsidP="001509C2">
      <w:r>
        <w:t xml:space="preserve">The Postal Service also </w:t>
      </w:r>
      <w:r w:rsidR="009866D3">
        <w:t xml:space="preserve">argues that NPPC et al. Proposal One should be rejected because “Mailers fail to articulate exactly how their Proposal One would operate in any way that could possibly meet rational regulatory guidelines.”  </w:t>
      </w:r>
      <w:r w:rsidR="00B665A7">
        <w:rPr>
          <w:i/>
          <w:iCs/>
        </w:rPr>
        <w:t>Id.</w:t>
      </w:r>
      <w:r w:rsidR="00B665A7">
        <w:t xml:space="preserve"> at 12.  The Postal Service states that while the result the Mailers hope to achieve is clear</w:t>
      </w:r>
      <w:r w:rsidR="00AF6BEE">
        <w:t xml:space="preserve"> “how they would propose to get there is distinctly unclear” and “[t]o the extent that a potential pathway can be surmised, it has additional unacceptable shortcomings.”  </w:t>
      </w:r>
      <w:r w:rsidR="00AF6BEE">
        <w:rPr>
          <w:i/>
          <w:iCs/>
        </w:rPr>
        <w:t>Id.</w:t>
      </w:r>
    </w:p>
    <w:p w14:paraId="6058A77C" w14:textId="730F499D" w:rsidR="001B1C88" w:rsidRDefault="00DB0AC1" w:rsidP="001509C2">
      <w:r>
        <w:t>To support these arguments, the Postal Service first explains that steps it took in FY 2021</w:t>
      </w:r>
      <w:r w:rsidR="005E4384">
        <w:t xml:space="preserve"> for accruing and attributing retiree health benefit normal costs</w:t>
      </w:r>
      <w:r w:rsidR="00E3042B">
        <w:t xml:space="preserve">, beginning with </w:t>
      </w:r>
      <w:r w:rsidR="00456D49">
        <w:t xml:space="preserve">receiving an </w:t>
      </w:r>
      <w:r w:rsidR="005438C4">
        <w:t xml:space="preserve">OPM </w:t>
      </w:r>
      <w:r w:rsidR="00456D49">
        <w:t xml:space="preserve">invoice with a precise amount payable for FY 2021 </w:t>
      </w:r>
      <w:r w:rsidR="005438C4">
        <w:t>retiree health benefit normal costs</w:t>
      </w:r>
      <w:r w:rsidR="005C4135">
        <w:t>, reporting that amount in the Trial Bal</w:t>
      </w:r>
      <w:r w:rsidR="00072AC6">
        <w:t xml:space="preserve">ance and components 202 and 208, </w:t>
      </w:r>
      <w:r w:rsidR="00077B59">
        <w:t>and then partially attributing component 202 costs to products</w:t>
      </w:r>
      <w:r w:rsidR="005E4384">
        <w:t xml:space="preserve">.  </w:t>
      </w:r>
      <w:r w:rsidR="000A7CCC">
        <w:rPr>
          <w:i/>
          <w:iCs/>
        </w:rPr>
        <w:t>Id.</w:t>
      </w:r>
      <w:r w:rsidR="000A7CCC">
        <w:t xml:space="preserve"> at 12-13.</w:t>
      </w:r>
      <w:r w:rsidR="001B5928">
        <w:t xml:space="preserve">  The Postal Service</w:t>
      </w:r>
      <w:r w:rsidR="00405321">
        <w:t xml:space="preserve"> states that NPPC et al. Proposal One seeks to ensure that </w:t>
      </w:r>
      <w:r w:rsidR="00362733">
        <w:t>the amounts are attributed in FY 2022, but given that no OPM invoice was issued</w:t>
      </w:r>
      <w:r w:rsidR="003A3B4E">
        <w:t xml:space="preserve">, it is </w:t>
      </w:r>
      <w:r w:rsidR="003A3B4E">
        <w:lastRenderedPageBreak/>
        <w:t>unclear from the</w:t>
      </w:r>
      <w:r w:rsidR="00BC3C68">
        <w:t xml:space="preserve"> Mailers’</w:t>
      </w:r>
      <w:r w:rsidR="003A3B4E">
        <w:t xml:space="preserve"> proposal </w:t>
      </w:r>
      <w:r w:rsidR="009F37D2">
        <w:t xml:space="preserve">what steps would be taken to effectuate that since </w:t>
      </w:r>
      <w:r w:rsidR="006B5D6A">
        <w:t xml:space="preserve">no retiree health benefit normal costs were entered in the Postal Service’s accounting records for FY 2022.  </w:t>
      </w:r>
      <w:r w:rsidR="006B5D6A">
        <w:rPr>
          <w:i/>
          <w:iCs/>
        </w:rPr>
        <w:t>Id.</w:t>
      </w:r>
      <w:r w:rsidR="006B5D6A">
        <w:t xml:space="preserve"> at 13-14.</w:t>
      </w:r>
      <w:r w:rsidR="003B6F3C">
        <w:t xml:space="preserve">  The Postal Service explains </w:t>
      </w:r>
      <w:r w:rsidR="0014095A">
        <w:t xml:space="preserve">the issues </w:t>
      </w:r>
      <w:r w:rsidR="00D7735B">
        <w:t xml:space="preserve">it sees </w:t>
      </w:r>
      <w:r w:rsidR="0014095A">
        <w:t xml:space="preserve">with </w:t>
      </w:r>
      <w:r w:rsidR="000D21CB">
        <w:t xml:space="preserve">inserting the costs at </w:t>
      </w:r>
      <w:r w:rsidR="00DD6CB6">
        <w:t xml:space="preserve">the Trial Balance </w:t>
      </w:r>
      <w:r w:rsidR="00291D9A">
        <w:t>step</w:t>
      </w:r>
      <w:r w:rsidR="000D21CB">
        <w:t xml:space="preserve">, including that </w:t>
      </w:r>
      <w:r w:rsidR="004E4397">
        <w:t>that such</w:t>
      </w:r>
      <w:r w:rsidR="00291D9A">
        <w:t xml:space="preserve"> an</w:t>
      </w:r>
      <w:r w:rsidR="004E4397">
        <w:t xml:space="preserve"> approach </w:t>
      </w:r>
      <w:r w:rsidR="003C3E8A">
        <w:t xml:space="preserve">would be inconsistent with </w:t>
      </w:r>
      <w:r w:rsidR="00277EA6">
        <w:t>Generally Accepted Accounting Principles (</w:t>
      </w:r>
      <w:r w:rsidR="003C3E8A">
        <w:t>GAAP</w:t>
      </w:r>
      <w:r w:rsidR="00277EA6">
        <w:t>)</w:t>
      </w:r>
      <w:r w:rsidR="003C3E8A">
        <w:t xml:space="preserve"> requirements</w:t>
      </w:r>
      <w:r w:rsidR="00A210FB">
        <w:t xml:space="preserve"> and would cause issues in future years as “top up” payments are required.</w:t>
      </w:r>
      <w:r w:rsidR="003175A1">
        <w:t xml:space="preserve">  </w:t>
      </w:r>
      <w:r w:rsidR="003175A1">
        <w:rPr>
          <w:i/>
          <w:iCs/>
        </w:rPr>
        <w:t>Id.</w:t>
      </w:r>
      <w:r w:rsidR="003175A1">
        <w:t xml:space="preserve"> at 14-15, n.</w:t>
      </w:r>
      <w:r w:rsidR="007442B8">
        <w:t>5.</w:t>
      </w:r>
    </w:p>
    <w:p w14:paraId="3A3D1FB5" w14:textId="0D90A745" w:rsidR="00EC0F41" w:rsidRDefault="003442F5" w:rsidP="00FC591A">
      <w:r>
        <w:t xml:space="preserve">The Postal Service suggests that “it seems much more plausible” that Mailers </w:t>
      </w:r>
      <w:r w:rsidR="0060498C">
        <w:t xml:space="preserve">are suggesting that the normal costs be inserted as a regulatory adjustment </w:t>
      </w:r>
      <w:r w:rsidR="00800E30">
        <w:t>in a later step</w:t>
      </w:r>
      <w:r w:rsidR="00A627E3">
        <w:t xml:space="preserve"> and that they are looking to </w:t>
      </w:r>
      <w:r w:rsidR="00B46AE4">
        <w:t>use the accounting and regulatory process</w:t>
      </w:r>
      <w:r w:rsidR="007465C7">
        <w:t xml:space="preserve"> used</w:t>
      </w:r>
      <w:r w:rsidR="00B46AE4">
        <w:t xml:space="preserve"> </w:t>
      </w:r>
      <w:r w:rsidR="007465C7">
        <w:t xml:space="preserve">prior to </w:t>
      </w:r>
      <w:r w:rsidR="00E72508">
        <w:t>FY</w:t>
      </w:r>
      <w:r w:rsidR="00ED5255">
        <w:t> </w:t>
      </w:r>
      <w:r w:rsidR="007465C7">
        <w:t>2017</w:t>
      </w:r>
      <w:r w:rsidR="007E6567">
        <w:t>,</w:t>
      </w:r>
      <w:r w:rsidR="00A028A5">
        <w:t xml:space="preserve"> </w:t>
      </w:r>
      <w:r w:rsidR="00BD3778">
        <w:t>wh</w:t>
      </w:r>
      <w:r w:rsidR="007E6567">
        <w:t xml:space="preserve">ich the Postal Service </w:t>
      </w:r>
      <w:r w:rsidR="00994EE1">
        <w:t>views as a separate procedure from the one employed</w:t>
      </w:r>
      <w:r w:rsidR="00E72508">
        <w:t xml:space="preserve"> between FY 2017 and FY 2021</w:t>
      </w:r>
      <w:r w:rsidR="00800E30">
        <w:t xml:space="preserve">.  </w:t>
      </w:r>
      <w:r w:rsidR="00800E30">
        <w:rPr>
          <w:i/>
          <w:iCs/>
        </w:rPr>
        <w:t>Id.</w:t>
      </w:r>
      <w:r w:rsidR="00800E30">
        <w:t xml:space="preserve"> at 15</w:t>
      </w:r>
      <w:r w:rsidR="006B7B9F">
        <w:t>-</w:t>
      </w:r>
      <w:r w:rsidR="00E72508">
        <w:t>1</w:t>
      </w:r>
      <w:r w:rsidR="0020430D">
        <w:t>9</w:t>
      </w:r>
      <w:r w:rsidR="00800E30">
        <w:t>.</w:t>
      </w:r>
      <w:r w:rsidR="000A67C1">
        <w:t xml:space="preserve">  </w:t>
      </w:r>
      <w:r w:rsidR="00CB2C82">
        <w:t>However, t</w:t>
      </w:r>
      <w:r w:rsidR="000A67C1">
        <w:t>he Postal Service</w:t>
      </w:r>
      <w:r w:rsidR="001D4BB9">
        <w:t xml:space="preserve"> </w:t>
      </w:r>
      <w:r w:rsidR="000A67C1">
        <w:t>takes issue with the Mailers</w:t>
      </w:r>
      <w:r w:rsidR="001D4BB9">
        <w:t>’</w:t>
      </w:r>
      <w:r w:rsidR="000A67C1">
        <w:t xml:space="preserve"> </w:t>
      </w:r>
      <w:r w:rsidR="00A32AE2">
        <w:t>reference to</w:t>
      </w:r>
      <w:r w:rsidR="001D4BB9">
        <w:t xml:space="preserve"> negative</w:t>
      </w:r>
      <w:r w:rsidR="00A32AE2">
        <w:t xml:space="preserve"> adjustments made in FY 2009 and FY 2011</w:t>
      </w:r>
      <w:r w:rsidR="0075568D">
        <w:t xml:space="preserve">.  </w:t>
      </w:r>
      <w:r w:rsidR="0075568D">
        <w:rPr>
          <w:i/>
          <w:iCs/>
        </w:rPr>
        <w:t>Id.</w:t>
      </w:r>
      <w:r w:rsidR="0075568D">
        <w:t xml:space="preserve"> at 19-20.</w:t>
      </w:r>
    </w:p>
    <w:p w14:paraId="3953A921" w14:textId="25B09C1B" w:rsidR="00307A0F" w:rsidRPr="0092268E" w:rsidRDefault="008E75EF" w:rsidP="00FC591A">
      <w:r>
        <w:t>The Postal Service differentiates the FY 2009 and FY 2011 adjustments</w:t>
      </w:r>
      <w:r w:rsidR="00601E1D">
        <w:t xml:space="preserve"> on </w:t>
      </w:r>
      <w:r w:rsidR="00EC0F41">
        <w:t>the</w:t>
      </w:r>
      <w:r w:rsidR="00601E1D">
        <w:t xml:space="preserve"> grounds that the legislative changes in FY 2009 and FY 2011 </w:t>
      </w:r>
      <w:r w:rsidR="007A7D24">
        <w:t>“were transitory adjustments to or deferrals of payment amounts previously specified by Congress</w:t>
      </w:r>
      <w:r w:rsidR="00085047">
        <w:t>” and not</w:t>
      </w:r>
      <w:r w:rsidR="007975B9">
        <w:t xml:space="preserve"> permanent changes to the Postal Service’s payment obligations</w:t>
      </w:r>
      <w:r w:rsidR="00085047">
        <w:t xml:space="preserve"> (</w:t>
      </w:r>
      <w:r w:rsidR="007975B9">
        <w:t>un</w:t>
      </w:r>
      <w:r w:rsidR="00085047">
        <w:t>like the PSRA</w:t>
      </w:r>
      <w:r w:rsidR="00486863">
        <w:t>, which “affirmatively did abandon the prefunding concept”</w:t>
      </w:r>
      <w:r w:rsidR="00085047">
        <w:t>)</w:t>
      </w:r>
      <w:r w:rsidR="00486863">
        <w:t xml:space="preserve">.  </w:t>
      </w:r>
      <w:r w:rsidR="00486863">
        <w:rPr>
          <w:i/>
          <w:iCs/>
        </w:rPr>
        <w:t>Id.</w:t>
      </w:r>
      <w:r w:rsidR="00240130">
        <w:t xml:space="preserve">  </w:t>
      </w:r>
      <w:r w:rsidR="00244B22">
        <w:t>The Postal Service also differentiates the FY 2009 and FY 2011 adjustments</w:t>
      </w:r>
      <w:r w:rsidR="00E13385">
        <w:t xml:space="preserve"> because making the same adjustments for FY 2022 </w:t>
      </w:r>
      <w:r w:rsidR="00296E25">
        <w:t>would result in</w:t>
      </w:r>
      <w:r w:rsidR="001709C5">
        <w:t xml:space="preserve"> the</w:t>
      </w:r>
      <w:r w:rsidR="00296E25">
        <w:t xml:space="preserve"> attributable cost</w:t>
      </w:r>
      <w:r w:rsidR="001709C5">
        <w:t xml:space="preserve"> portion of the retiree health benefit normal costs </w:t>
      </w:r>
      <w:r w:rsidR="005263D3">
        <w:t>exceeding the accrued retiree health benefit accounting costs</w:t>
      </w:r>
      <w:r w:rsidR="00BC3726">
        <w:t xml:space="preserve"> when in FY 2009 and FY 2011 the attributed portion of the retiree health benefit normal cost</w:t>
      </w:r>
      <w:r w:rsidR="00AC5BA9">
        <w:t>s did not exceed accrued total costs.</w:t>
      </w:r>
      <w:r w:rsidR="00B8718F">
        <w:t xml:space="preserve">  </w:t>
      </w:r>
      <w:r w:rsidR="00B8718F">
        <w:rPr>
          <w:i/>
          <w:iCs/>
        </w:rPr>
        <w:t>Id.</w:t>
      </w:r>
      <w:r w:rsidR="00B8718F">
        <w:t xml:space="preserve"> at 20-21.</w:t>
      </w:r>
      <w:r w:rsidR="00AB40AC">
        <w:t xml:space="preserve">  </w:t>
      </w:r>
      <w:r w:rsidR="006327FA">
        <w:t xml:space="preserve">The Postal Service concludes that </w:t>
      </w:r>
      <w:r w:rsidR="00B1215F">
        <w:t>in</w:t>
      </w:r>
      <w:r w:rsidR="006327FA">
        <w:t xml:space="preserve"> FY 2022, </w:t>
      </w:r>
      <w:r w:rsidR="00B1215F">
        <w:t>where</w:t>
      </w:r>
      <w:r w:rsidR="006327FA">
        <w:t xml:space="preserve"> there </w:t>
      </w:r>
      <w:r w:rsidR="00B1215F">
        <w:t>were</w:t>
      </w:r>
      <w:r w:rsidR="006327FA">
        <w:t xml:space="preserve"> no accrued </w:t>
      </w:r>
      <w:r w:rsidR="00B1215F">
        <w:t xml:space="preserve">retiree health benefit </w:t>
      </w:r>
      <w:r w:rsidR="006327FA">
        <w:t xml:space="preserve">costs </w:t>
      </w:r>
      <w:r w:rsidR="008658B4">
        <w:t xml:space="preserve">because no retiree health benefit payments </w:t>
      </w:r>
      <w:r w:rsidR="00586CBE">
        <w:t>we</w:t>
      </w:r>
      <w:r w:rsidR="008658B4">
        <w:t>re required,</w:t>
      </w:r>
      <w:r w:rsidR="00DA77C4">
        <w:t xml:space="preserve"> attributing a portion of normal costs as advocated by the Mailers</w:t>
      </w:r>
      <w:r w:rsidR="005D6D34">
        <w:t xml:space="preserve"> </w:t>
      </w:r>
      <w:r w:rsidR="00421897">
        <w:t>“would open the door for the complete untethering of regulatory costs from booked accounting costs</w:t>
      </w:r>
      <w:r w:rsidR="005D6D34">
        <w:t>.</w:t>
      </w:r>
      <w:r w:rsidR="00421897">
        <w:t>”</w:t>
      </w:r>
      <w:r w:rsidR="00760952">
        <w:t xml:space="preserve">  </w:t>
      </w:r>
      <w:r w:rsidR="00760952">
        <w:rPr>
          <w:i/>
          <w:iCs/>
        </w:rPr>
        <w:t>Id.</w:t>
      </w:r>
      <w:r w:rsidR="0092268E">
        <w:t xml:space="preserve"> at 21.</w:t>
      </w:r>
    </w:p>
    <w:p w14:paraId="4F4BB3ED" w14:textId="72484DAD" w:rsidR="0086613D" w:rsidRPr="004D791E" w:rsidRDefault="0086613D" w:rsidP="006C33C0">
      <w:pPr>
        <w:pStyle w:val="Heading2"/>
        <w:numPr>
          <w:ilvl w:val="0"/>
          <w:numId w:val="17"/>
        </w:numPr>
        <w:ind w:hanging="720"/>
      </w:pPr>
      <w:r w:rsidRPr="004D791E">
        <w:lastRenderedPageBreak/>
        <w:t xml:space="preserve">Mailers’ </w:t>
      </w:r>
      <w:r w:rsidR="007D5270" w:rsidRPr="004D791E">
        <w:t>Reply Comments</w:t>
      </w:r>
    </w:p>
    <w:p w14:paraId="03618583" w14:textId="480962E1" w:rsidR="0086613D" w:rsidRDefault="0086613D" w:rsidP="0086613D">
      <w:r w:rsidRPr="004D791E">
        <w:t xml:space="preserve">On January </w:t>
      </w:r>
      <w:r w:rsidR="007D5270" w:rsidRPr="004D791E">
        <w:t>11</w:t>
      </w:r>
      <w:r w:rsidRPr="004D791E">
        <w:t>, 202</w:t>
      </w:r>
      <w:r w:rsidR="007D5270" w:rsidRPr="004D791E">
        <w:t>3</w:t>
      </w:r>
      <w:r w:rsidRPr="004D791E">
        <w:t xml:space="preserve">, the </w:t>
      </w:r>
      <w:r w:rsidR="007D5270" w:rsidRPr="004D791E">
        <w:t>Mailers</w:t>
      </w:r>
      <w:r w:rsidR="00876D5D">
        <w:t xml:space="preserve"> filed a </w:t>
      </w:r>
      <w:r w:rsidR="00F13027">
        <w:t xml:space="preserve">motion for leave to file reply comments </w:t>
      </w:r>
      <w:r w:rsidR="00FC7C69">
        <w:t xml:space="preserve">and </w:t>
      </w:r>
      <w:r w:rsidR="00500400">
        <w:t>concurrently submitted reply comments.</w:t>
      </w:r>
      <w:r w:rsidR="00500400">
        <w:rPr>
          <w:rStyle w:val="FootnoteReference"/>
        </w:rPr>
        <w:footnoteReference w:id="11"/>
      </w:r>
      <w:r w:rsidR="00824F6A">
        <w:t xml:space="preserve">  The Commission</w:t>
      </w:r>
      <w:r w:rsidR="00DC624B">
        <w:t xml:space="preserve"> received no objections to the motion</w:t>
      </w:r>
      <w:r w:rsidR="007D0E9A">
        <w:t xml:space="preserve"> and</w:t>
      </w:r>
      <w:r w:rsidR="00824F6A">
        <w:t xml:space="preserve"> finds that no party is prejudiced by granting the motion, particularly </w:t>
      </w:r>
      <w:proofErr w:type="gramStart"/>
      <w:r w:rsidR="00824F6A">
        <w:t>in light of</w:t>
      </w:r>
      <w:proofErr w:type="gramEnd"/>
      <w:r w:rsidR="00824F6A">
        <w:t xml:space="preserve"> the additional opportunity to comment that will be provided</w:t>
      </w:r>
      <w:r w:rsidR="00A337D4">
        <w:t xml:space="preserve"> as</w:t>
      </w:r>
      <w:r w:rsidR="00824F6A">
        <w:t xml:space="preserve"> discussed in Section </w:t>
      </w:r>
      <w:r w:rsidR="00552844">
        <w:t xml:space="preserve">V.B., </w:t>
      </w:r>
      <w:r w:rsidR="00552844">
        <w:rPr>
          <w:i/>
          <w:iCs/>
        </w:rPr>
        <w:t>infra.</w:t>
      </w:r>
      <w:r w:rsidR="00552844">
        <w:t xml:space="preserve">  </w:t>
      </w:r>
      <w:r w:rsidR="006871A7">
        <w:t>Thus,</w:t>
      </w:r>
      <w:r w:rsidR="009342B7">
        <w:t xml:space="preserve"> the Motion for Reply Comments is granted.</w:t>
      </w:r>
    </w:p>
    <w:p w14:paraId="00D55C0C" w14:textId="4251F9E9" w:rsidR="009342B7" w:rsidRDefault="009342B7" w:rsidP="0086613D">
      <w:r>
        <w:t xml:space="preserve">In the reply comments, </w:t>
      </w:r>
      <w:r w:rsidR="00655359">
        <w:t xml:space="preserve">the Mailers </w:t>
      </w:r>
      <w:r w:rsidR="001C20A8">
        <w:t>reemphasize that the burden of proof should be on the Postal Service</w:t>
      </w:r>
      <w:r w:rsidR="00512ABD">
        <w:t xml:space="preserve">.  </w:t>
      </w:r>
      <w:r w:rsidR="009A371E">
        <w:t xml:space="preserve">Mailers’ Reply Comments at 1-2.  The Mailers assert that nothing in the </w:t>
      </w:r>
      <w:r w:rsidR="000518AE">
        <w:t xml:space="preserve">Postal Service Response supports </w:t>
      </w:r>
      <w:r w:rsidR="00994472">
        <w:t xml:space="preserve">excluding </w:t>
      </w:r>
      <w:r w:rsidR="000518AE">
        <w:t>retiree health benefit normal costs</w:t>
      </w:r>
      <w:r w:rsidR="00994472">
        <w:t xml:space="preserve"> from periodic reporting given that retiree health benefit normal costs are </w:t>
      </w:r>
      <w:r w:rsidR="002C556A">
        <w:t xml:space="preserve">“earned benefits” and “part of the economic costs of handling mail.”  </w:t>
      </w:r>
      <w:r w:rsidR="002C556A">
        <w:rPr>
          <w:i/>
          <w:iCs/>
        </w:rPr>
        <w:t>Id.</w:t>
      </w:r>
      <w:r w:rsidR="002C556A">
        <w:t xml:space="preserve"> at 2.</w:t>
      </w:r>
      <w:r w:rsidR="00810422">
        <w:t xml:space="preserve">  Mailers re</w:t>
      </w:r>
      <w:r w:rsidR="00563DE1">
        <w:t>iterate that the PSRA did not change the treatment of retiree health benefit costs</w:t>
      </w:r>
      <w:r w:rsidR="00174E55">
        <w:t xml:space="preserve">, and that in their view, the PSRA </w:t>
      </w:r>
      <w:r w:rsidR="006653EA">
        <w:t xml:space="preserve">“addressed solely the timing of payment, not the regulatory handling of the cost.”  </w:t>
      </w:r>
      <w:r w:rsidR="006653EA">
        <w:rPr>
          <w:i/>
          <w:iCs/>
        </w:rPr>
        <w:t>Id.</w:t>
      </w:r>
      <w:r w:rsidR="006653EA">
        <w:t xml:space="preserve">  </w:t>
      </w:r>
      <w:r w:rsidR="00092B4A">
        <w:t xml:space="preserve">The Mailers </w:t>
      </w:r>
      <w:r w:rsidR="00D85C98">
        <w:t>argue that the PSRA did not change the legal standard governing cost attribution</w:t>
      </w:r>
      <w:r w:rsidR="00251071">
        <w:t xml:space="preserve"> or direct the Postal Service to abandon systemwide accrual costing.  </w:t>
      </w:r>
      <w:r w:rsidR="00251071">
        <w:rPr>
          <w:i/>
          <w:iCs/>
        </w:rPr>
        <w:t>Id.</w:t>
      </w:r>
      <w:r w:rsidR="00251071">
        <w:t xml:space="preserve"> at 2-3.</w:t>
      </w:r>
    </w:p>
    <w:p w14:paraId="3FAC92CE" w14:textId="2461BE33" w:rsidR="00D42CA0" w:rsidRPr="004D371B" w:rsidRDefault="00D42CA0" w:rsidP="0086613D">
      <w:r>
        <w:t xml:space="preserve">The Mailers also assert that </w:t>
      </w:r>
      <w:r w:rsidR="00493B9F">
        <w:t xml:space="preserve">the “real world consequences” of failing </w:t>
      </w:r>
      <w:r w:rsidR="00BE7EE3">
        <w:t xml:space="preserve">to attribute retiree health </w:t>
      </w:r>
      <w:r w:rsidR="004D371B">
        <w:t>benefit normal costs is demonstrated through the FY 2022 ACR</w:t>
      </w:r>
      <w:r w:rsidR="003C5F29">
        <w:t>, where “[t]he omission of more than $2 billion of attributable costs make</w:t>
      </w:r>
      <w:r w:rsidR="008D337C">
        <w:t>s</w:t>
      </w:r>
      <w:r w:rsidR="003C5F29">
        <w:t xml:space="preserve"> material changes to workshare discount passth</w:t>
      </w:r>
      <w:r w:rsidR="00D0359B">
        <w:t>r</w:t>
      </w:r>
      <w:r w:rsidR="003C5F29">
        <w:t xml:space="preserve">oughs compared to if those </w:t>
      </w:r>
      <w:r w:rsidR="008B457F">
        <w:t>costs were included</w:t>
      </w:r>
      <w:r w:rsidR="004D371B">
        <w:t>.</w:t>
      </w:r>
      <w:r w:rsidR="008B457F">
        <w:t>”</w:t>
      </w:r>
      <w:r w:rsidR="004D371B">
        <w:t xml:space="preserve">  </w:t>
      </w:r>
      <w:r w:rsidR="004D371B">
        <w:rPr>
          <w:i/>
          <w:iCs/>
        </w:rPr>
        <w:t>Id.</w:t>
      </w:r>
      <w:r w:rsidR="004D371B">
        <w:t xml:space="preserve"> at 3</w:t>
      </w:r>
      <w:r w:rsidR="00242713">
        <w:t xml:space="preserve"> (footnote omitted)</w:t>
      </w:r>
      <w:r w:rsidR="004D371B">
        <w:t>.</w:t>
      </w:r>
      <w:r w:rsidR="00D9167B">
        <w:t xml:space="preserve">  </w:t>
      </w:r>
      <w:r w:rsidR="00E2553D">
        <w:t>The Mailers point to several</w:t>
      </w:r>
      <w:r w:rsidR="00FB3341">
        <w:t xml:space="preserve"> workshare discounts being </w:t>
      </w:r>
      <w:r w:rsidR="009E1B88">
        <w:t>reported as having passthroughs exceeding 100 percent, despite those passthroughs previously being set at 100 percent in the most recent rate adjustment proceeding</w:t>
      </w:r>
      <w:r w:rsidR="00FF3370">
        <w:t>, which the Mailers assert “is very largely due</w:t>
      </w:r>
      <w:r w:rsidR="00C42959">
        <w:t xml:space="preserve"> to the omission of $2.4 billion in attributable costs.”  </w:t>
      </w:r>
      <w:r w:rsidR="00C42959">
        <w:rPr>
          <w:i/>
          <w:iCs/>
        </w:rPr>
        <w:t>Id.</w:t>
      </w:r>
      <w:r w:rsidR="00C42959">
        <w:t xml:space="preserve"> at 4-5.</w:t>
      </w:r>
      <w:r w:rsidR="001C19C7">
        <w:t xml:space="preserve">  The Mailers also note that workshare discounts with passthroughs below 85 </w:t>
      </w:r>
      <w:r w:rsidR="001C19C7">
        <w:lastRenderedPageBreak/>
        <w:t>percent</w:t>
      </w:r>
      <w:r w:rsidR="004D371B">
        <w:t xml:space="preserve"> </w:t>
      </w:r>
      <w:r w:rsidR="001C19C7">
        <w:t>were also affected as they “now appear to have larger passthroughs</w:t>
      </w:r>
      <w:r w:rsidR="0059742E">
        <w:t xml:space="preserve"> – again almost entirely due to the omission of more than $2 billion in attributable retiree health benefit normal costs.”  </w:t>
      </w:r>
      <w:r w:rsidR="0059742E">
        <w:rPr>
          <w:i/>
          <w:iCs/>
        </w:rPr>
        <w:t>Id.</w:t>
      </w:r>
      <w:r w:rsidR="0059742E">
        <w:t xml:space="preserve"> at 5.</w:t>
      </w:r>
      <w:r w:rsidR="005037D5">
        <w:t xml:space="preserve">  The Mailers assert that this will result in inaccurate compliance findings</w:t>
      </w:r>
      <w:r w:rsidR="00845D51">
        <w:t xml:space="preserve"> with respect to workshare discounts,</w:t>
      </w:r>
      <w:r w:rsidR="005A1023">
        <w:t xml:space="preserve"> may harm the goals of pricing and operational efficiency, and </w:t>
      </w:r>
      <w:r w:rsidR="00DF1659">
        <w:t xml:space="preserve">will impede efforts to move workshare discounts with low passthroughs to more efficient levels.  </w:t>
      </w:r>
      <w:r w:rsidR="00DF1659">
        <w:rPr>
          <w:i/>
          <w:iCs/>
        </w:rPr>
        <w:t>Id.</w:t>
      </w:r>
    </w:p>
    <w:p w14:paraId="6CD719A0" w14:textId="2C88033F" w:rsidR="009A218A" w:rsidRDefault="00267393" w:rsidP="006C33C0">
      <w:pPr>
        <w:pStyle w:val="Heading1"/>
      </w:pPr>
      <w:r>
        <w:t>I</w:t>
      </w:r>
      <w:r w:rsidR="00A17595">
        <w:t>V</w:t>
      </w:r>
      <w:r>
        <w:t>.</w:t>
      </w:r>
      <w:r>
        <w:tab/>
      </w:r>
      <w:r w:rsidR="00557FDB">
        <w:t xml:space="preserve">COMMISSION </w:t>
      </w:r>
      <w:r w:rsidR="009A218A">
        <w:t>ANALYSIS</w:t>
      </w:r>
    </w:p>
    <w:p w14:paraId="21F9A2E3" w14:textId="255F0F82" w:rsidR="00BB11FF" w:rsidRDefault="00C80105" w:rsidP="00C976FA">
      <w:r>
        <w:t xml:space="preserve">As discussed in Section II., </w:t>
      </w:r>
      <w:r>
        <w:rPr>
          <w:i/>
          <w:iCs/>
        </w:rPr>
        <w:t>supra</w:t>
      </w:r>
      <w:r>
        <w:t xml:space="preserve">, the Commission’s regulations permit that the Postal Service use only accepted analytical principles in its annual periodic reports to the Commission.  39 CFR 3050.10.  Accepted analytical principles refer to the analytical principles that were applied by the Commission in its most recent ACD unless a different analytical principle subsequently was accepted by the Commission in a final rule.  39 CFR 3050.1(a).  </w:t>
      </w:r>
      <w:r w:rsidR="00ED6CED">
        <w:t xml:space="preserve">The filings before the Commission contain arguments concerning both </w:t>
      </w:r>
      <w:r w:rsidR="00921458">
        <w:t xml:space="preserve">what </w:t>
      </w:r>
      <w:r w:rsidR="00ED6CED">
        <w:t>the accepted analytical principle</w:t>
      </w:r>
      <w:r w:rsidR="00F530D4">
        <w:t>s</w:t>
      </w:r>
      <w:r w:rsidR="00ED6CED">
        <w:t xml:space="preserve"> related to the treatment of retiree health benefit</w:t>
      </w:r>
      <w:r w:rsidR="00B21948">
        <w:t xml:space="preserve"> normal costs</w:t>
      </w:r>
      <w:r w:rsidR="00ED6CED">
        <w:t xml:space="preserve"> </w:t>
      </w:r>
      <w:r w:rsidR="00ED6CED" w:rsidRPr="00984824">
        <w:rPr>
          <w:i/>
          <w:iCs/>
        </w:rPr>
        <w:t xml:space="preserve">currently </w:t>
      </w:r>
      <w:r w:rsidR="00F530D4">
        <w:rPr>
          <w:i/>
          <w:iCs/>
        </w:rPr>
        <w:t>are</w:t>
      </w:r>
      <w:r w:rsidR="00F530D4">
        <w:t xml:space="preserve"> </w:t>
      </w:r>
      <w:r w:rsidR="00ED6CED">
        <w:t xml:space="preserve">as well as arguments about </w:t>
      </w:r>
      <w:r w:rsidR="004F4BBF">
        <w:t>whether</w:t>
      </w:r>
      <w:r w:rsidR="00132A08">
        <w:t xml:space="preserve"> and how</w:t>
      </w:r>
      <w:r w:rsidR="00ED6CED">
        <w:t xml:space="preserve"> the accepted analytical principle</w:t>
      </w:r>
      <w:r w:rsidR="00F530D4">
        <w:t>s</w:t>
      </w:r>
      <w:r w:rsidR="00ED6CED">
        <w:t xml:space="preserve"> </w:t>
      </w:r>
      <w:r w:rsidR="00ED6CED" w:rsidRPr="00984824">
        <w:rPr>
          <w:i/>
          <w:iCs/>
        </w:rPr>
        <w:t>should be</w:t>
      </w:r>
      <w:r w:rsidR="004F4BBF">
        <w:rPr>
          <w:i/>
          <w:iCs/>
        </w:rPr>
        <w:t xml:space="preserve"> changed</w:t>
      </w:r>
      <w:r w:rsidR="00ED6CED">
        <w:t>.</w:t>
      </w:r>
    </w:p>
    <w:p w14:paraId="4A12EE66" w14:textId="0267081F" w:rsidR="00C767B7" w:rsidRDefault="00ED6CED" w:rsidP="00BB11FF">
      <w:r>
        <w:t>The primary question that needs to be resolved with respect to the request for reconsideration is what the accepted analytical principle</w:t>
      </w:r>
      <w:r w:rsidR="00F530D4">
        <w:t>s</w:t>
      </w:r>
      <w:r>
        <w:t xml:space="preserve"> for the treatment of retiree health benefit normal costs </w:t>
      </w:r>
      <w:r w:rsidR="0092763E">
        <w:t xml:space="preserve">are </w:t>
      </w:r>
      <w:r w:rsidR="0016438D" w:rsidRPr="00BB11FF">
        <w:rPr>
          <w:i/>
          <w:iCs/>
        </w:rPr>
        <w:t>currently</w:t>
      </w:r>
      <w:r>
        <w:t>.</w:t>
      </w:r>
      <w:r w:rsidR="00380114">
        <w:t xml:space="preserve">  Thus, this section </w:t>
      </w:r>
      <w:r w:rsidR="00B0042C">
        <w:t>elaborates on Order No. 6363’s explanation</w:t>
      </w:r>
      <w:r w:rsidR="00027666">
        <w:t xml:space="preserve"> and application</w:t>
      </w:r>
      <w:r w:rsidR="00B0042C">
        <w:t xml:space="preserve"> of the current accepted analytical</w:t>
      </w:r>
      <w:r w:rsidR="00820159">
        <w:t xml:space="preserve"> principle</w:t>
      </w:r>
      <w:r w:rsidR="000A506F">
        <w:t>s</w:t>
      </w:r>
      <w:r w:rsidR="00EE0971">
        <w:t xml:space="preserve"> and addresses the arguments raised concerning what the accepted analytical principle</w:t>
      </w:r>
      <w:r w:rsidR="00A05F91">
        <w:t>s</w:t>
      </w:r>
      <w:r w:rsidR="00EE0971">
        <w:t xml:space="preserve"> </w:t>
      </w:r>
      <w:r w:rsidR="00EC4E82">
        <w:t xml:space="preserve">are </w:t>
      </w:r>
      <w:r w:rsidR="00EE0971">
        <w:t>currently.</w:t>
      </w:r>
      <w:r w:rsidR="008F4D07">
        <w:t xml:space="preserve">  Arguments concerning whether and how the accepted analytical principle</w:t>
      </w:r>
      <w:r w:rsidR="001148F2">
        <w:t>s</w:t>
      </w:r>
      <w:r w:rsidR="008F4D07">
        <w:t xml:space="preserve"> </w:t>
      </w:r>
      <w:r w:rsidR="008F4D07" w:rsidRPr="008F4D07">
        <w:t>should be changed</w:t>
      </w:r>
      <w:r w:rsidR="003A2450">
        <w:t xml:space="preserve"> will be addressed when the Commission considers the merits of NPPC et al. Proposal One </w:t>
      </w:r>
      <w:r w:rsidR="0015492A">
        <w:t xml:space="preserve">in a </w:t>
      </w:r>
      <w:r w:rsidR="00EE51CD">
        <w:t>future</w:t>
      </w:r>
      <w:r w:rsidR="001545F6">
        <w:t xml:space="preserve"> order after receiving further comment </w:t>
      </w:r>
      <w:r w:rsidR="005A7736">
        <w:t xml:space="preserve">on NPPC et al. Proposal One.  </w:t>
      </w:r>
      <w:r w:rsidR="005A7736">
        <w:rPr>
          <w:i/>
          <w:iCs/>
        </w:rPr>
        <w:t xml:space="preserve">See </w:t>
      </w:r>
      <w:r w:rsidR="005A7736">
        <w:t>Section</w:t>
      </w:r>
      <w:r w:rsidR="00FD5CB7">
        <w:t>s IV.C.,</w:t>
      </w:r>
      <w:r w:rsidR="005A7736">
        <w:t xml:space="preserve"> V.</w:t>
      </w:r>
      <w:r w:rsidR="005A7736">
        <w:rPr>
          <w:i/>
          <w:iCs/>
        </w:rPr>
        <w:t>, infra.</w:t>
      </w:r>
    </w:p>
    <w:p w14:paraId="575E372F" w14:textId="4BFE33F7" w:rsidR="00ED6CED" w:rsidRPr="00ED6CED" w:rsidRDefault="00CA18E3" w:rsidP="00C6634E">
      <w:r>
        <w:t xml:space="preserve">Order No. 6363 found that the current accepted analytical principles do not require the Postal Service to include costs not incurred (such as retiree health benefit normal costs in FY 2022) in its annual periodic reports to the Commission and that </w:t>
      </w:r>
      <w:r>
        <w:lastRenderedPageBreak/>
        <w:t>“[i]</w:t>
      </w:r>
      <w:proofErr w:type="spellStart"/>
      <w:r>
        <w:t>ncluding</w:t>
      </w:r>
      <w:proofErr w:type="spellEnd"/>
      <w:r>
        <w:t xml:space="preserve"> such costs not incurred by the Postal Service would require a change in accepted methodology.”  Order No. 6363 at 10.  The Mailers</w:t>
      </w:r>
      <w:r w:rsidR="00067E56">
        <w:t xml:space="preserve"> disagree and argue that </w:t>
      </w:r>
      <w:r w:rsidR="00047715">
        <w:t>the current accepted analytical principle</w:t>
      </w:r>
      <w:r w:rsidR="00B246BA">
        <w:t>s</w:t>
      </w:r>
      <w:r w:rsidR="00047715">
        <w:t xml:space="preserve"> </w:t>
      </w:r>
      <w:r w:rsidR="00A809BE">
        <w:t>require that</w:t>
      </w:r>
      <w:r w:rsidR="0093026B">
        <w:t xml:space="preserve"> </w:t>
      </w:r>
      <w:r w:rsidR="00241E85">
        <w:t>FY 2022 retiree health benefit normal costs “be treated as accrued</w:t>
      </w:r>
      <w:r w:rsidR="00C6634E">
        <w:t xml:space="preserve"> in FY 2022</w:t>
      </w:r>
      <w:r w:rsidR="00241E85">
        <w:t xml:space="preserve"> and</w:t>
      </w:r>
      <w:r w:rsidR="00C6634E">
        <w:t xml:space="preserve"> distributed as attributed or institutional in the same manner as they have been in every year since FY 2008.”  Mailers’ Motion and Petition at 1.</w:t>
      </w:r>
    </w:p>
    <w:p w14:paraId="113DC54B" w14:textId="2E09073F" w:rsidR="00F32C38" w:rsidRPr="00252D59" w:rsidRDefault="00E23880" w:rsidP="00252D59">
      <w:pPr>
        <w:pStyle w:val="Heading2"/>
        <w:numPr>
          <w:ilvl w:val="0"/>
          <w:numId w:val="18"/>
        </w:numPr>
        <w:ind w:hanging="720"/>
      </w:pPr>
      <w:r w:rsidRPr="00252D59">
        <w:t>The Applicable Accepted Analytical Principle</w:t>
      </w:r>
      <w:r w:rsidR="00CF1253" w:rsidRPr="00252D59">
        <w:t>s</w:t>
      </w:r>
    </w:p>
    <w:p w14:paraId="0DBB82A5" w14:textId="77777777" w:rsidR="00A83E51" w:rsidRDefault="00751B55" w:rsidP="00751B55">
      <w:r>
        <w:t>Between FY 2007 and FY 2016, the retiree health benefit expenses due and payable by the Postal Service were employer premiums and mandated statutory prefunding payments.</w:t>
      </w:r>
      <w:r w:rsidR="001E571B">
        <w:rPr>
          <w:rStyle w:val="FootnoteReference"/>
        </w:rPr>
        <w:footnoteReference w:id="12"/>
      </w:r>
      <w:r>
        <w:t xml:space="preserve">  OPM was required to annually estimate the balance in the PSRHBF </w:t>
      </w:r>
      <w:proofErr w:type="gramStart"/>
      <w:r>
        <w:t>taking into account</w:t>
      </w:r>
      <w:proofErr w:type="gramEnd"/>
      <w:r>
        <w:t xml:space="preserve"> retiree health benefit normal costs,</w:t>
      </w:r>
      <w:r w:rsidR="00BE5DB3">
        <w:rPr>
          <w:rStyle w:val="FootnoteReference"/>
        </w:rPr>
        <w:footnoteReference w:id="13"/>
      </w:r>
      <w:r>
        <w:t xml:space="preserve"> which are the economic costs of the estimated future retiree health benefits earned during the year by current employees.  Normal costs were included in the calculation of the PSRHBF balance and reported on the Postal Service’s Forms 10-K</w:t>
      </w:r>
      <w:r w:rsidR="00C41217">
        <w:rPr>
          <w:rStyle w:val="FootnoteReference"/>
        </w:rPr>
        <w:footnoteReference w:id="14"/>
      </w:r>
      <w:r>
        <w:t xml:space="preserve"> but not assessed or required to be paid by the Postal Service.  Thus, during that period, the only retiree health benefit costs due and payable were the premiums and mandated statutory prefunding payments</w:t>
      </w:r>
      <w:r w:rsidR="001D3EEB">
        <w:t>, notwithstanding</w:t>
      </w:r>
      <w:r w:rsidDel="001D3EEB">
        <w:t xml:space="preserve"> </w:t>
      </w:r>
      <w:r w:rsidR="0090476C">
        <w:t>the separate calculation of</w:t>
      </w:r>
      <w:r>
        <w:t xml:space="preserve"> retiree health benefit </w:t>
      </w:r>
    </w:p>
    <w:p w14:paraId="3B55C2B3" w14:textId="77777777" w:rsidR="00A83E51" w:rsidRDefault="00A83E51">
      <w:pPr>
        <w:spacing w:after="200" w:line="276" w:lineRule="auto"/>
        <w:ind w:firstLine="0"/>
      </w:pPr>
      <w:r>
        <w:br w:type="page"/>
      </w:r>
    </w:p>
    <w:p w14:paraId="5EF93847" w14:textId="6D8FA910" w:rsidR="00751B55" w:rsidRDefault="00751B55" w:rsidP="00A83E51">
      <w:pPr>
        <w:ind w:firstLine="0"/>
      </w:pPr>
      <w:r>
        <w:lastRenderedPageBreak/>
        <w:t xml:space="preserve">normal costs by OPM </w:t>
      </w:r>
      <w:r w:rsidR="00531E79">
        <w:t xml:space="preserve">to fulfill </w:t>
      </w:r>
      <w:r>
        <w:t>the reporting requirement</w:t>
      </w:r>
      <w:r w:rsidR="00C648E4">
        <w:t>s</w:t>
      </w:r>
      <w:r>
        <w:t xml:space="preserve"> of </w:t>
      </w:r>
      <w:r w:rsidR="005D3D45">
        <w:t>f</w:t>
      </w:r>
      <w:r w:rsidR="005D3D45" w:rsidRPr="00BE0529">
        <w:t>ormer 5 U.S.C. 8909a(d)(1)</w:t>
      </w:r>
      <w:r w:rsidR="005D3D45">
        <w:t xml:space="preserve"> and </w:t>
      </w:r>
      <w:r>
        <w:t>39 U.S.C. 3654(b)(</w:t>
      </w:r>
      <w:r w:rsidR="00C648E4">
        <w:t>2</w:t>
      </w:r>
      <w:r>
        <w:t>).</w:t>
      </w:r>
      <w:r w:rsidR="005F59C4">
        <w:rPr>
          <w:rStyle w:val="FootnoteReference"/>
        </w:rPr>
        <w:footnoteReference w:id="15"/>
      </w:r>
    </w:p>
    <w:p w14:paraId="19F0EB70" w14:textId="0A673F0A" w:rsidR="00751B55" w:rsidRDefault="00751B55" w:rsidP="00751B55">
      <w:r>
        <w:t xml:space="preserve">Between FY 2017 and FY 2021, the retiree health benefit expenses due and payable by the Postal Service changed.  The Postal Service was no longer required to pay the employer premiums and mandated statutory prefunding requirements.  The Postal Service was instead required to pay </w:t>
      </w:r>
      <w:r w:rsidR="00975A82">
        <w:t xml:space="preserve">retiree health benefit normal costs and to make </w:t>
      </w:r>
      <w:r>
        <w:t>amortization payments for the unfunded portion of the PSRHBF obligation.  Former 5 U.S.C. 8909a(d)(3)(B).</w:t>
      </w:r>
    </w:p>
    <w:p w14:paraId="7DB2A5C8" w14:textId="1D59F75D" w:rsidR="009F56A5" w:rsidRDefault="00B8748D" w:rsidP="009F56A5">
      <w:r>
        <w:t xml:space="preserve">To address </w:t>
      </w:r>
      <w:r w:rsidR="00405E67">
        <w:t>the PAEA’s</w:t>
      </w:r>
      <w:r w:rsidR="00FF5E81">
        <w:t xml:space="preserve"> requirements,</w:t>
      </w:r>
      <w:r w:rsidR="00DE40BC">
        <w:t xml:space="preserve"> the Postal Service and the Commission</w:t>
      </w:r>
      <w:r w:rsidR="00A01341">
        <w:t xml:space="preserve"> developed</w:t>
      </w:r>
      <w:r>
        <w:t xml:space="preserve"> </w:t>
      </w:r>
      <w:r w:rsidR="00A156D0">
        <w:t>t</w:t>
      </w:r>
      <w:r w:rsidR="00751B55">
        <w:t xml:space="preserve">he analytical principle </w:t>
      </w:r>
      <w:r w:rsidR="00C7748B">
        <w:t>that</w:t>
      </w:r>
      <w:r w:rsidR="00751B55">
        <w:t xml:space="preserve"> has been applied in each fiscal year from FY</w:t>
      </w:r>
      <w:r w:rsidR="00323A9A">
        <w:t> </w:t>
      </w:r>
      <w:r w:rsidR="00751B55">
        <w:t xml:space="preserve">2007 to FY 2021.  It allows for the attribution of retiree health benefit normal costs, which </w:t>
      </w:r>
      <w:r w:rsidR="00A87A31">
        <w:t xml:space="preserve">have been </w:t>
      </w:r>
      <w:r w:rsidR="00751B55">
        <w:t>attributed by applying the estimated labor volume variabilities to the retiree health benefit normal costs in the same proportions as direct labor costs.</w:t>
      </w:r>
      <w:r w:rsidR="00656E61">
        <w:rPr>
          <w:rStyle w:val="FootnoteReference"/>
        </w:rPr>
        <w:footnoteReference w:id="16"/>
      </w:r>
      <w:r w:rsidR="00751B55">
        <w:t xml:space="preserve">  Thus, under this methodology, the attributable portion of normal costs have been </w:t>
      </w:r>
      <w:r w:rsidR="00504C35">
        <w:t xml:space="preserve">calculated and </w:t>
      </w:r>
      <w:r w:rsidR="00751B55">
        <w:t xml:space="preserve">distributed to specific products since FY 2007.  It is this analytical principle that the Mailers focus </w:t>
      </w:r>
      <w:proofErr w:type="gramStart"/>
      <w:r w:rsidR="00751B55">
        <w:t>on</w:t>
      </w:r>
      <w:proofErr w:type="gramEnd"/>
      <w:r w:rsidR="00751B55">
        <w:t xml:space="preserve"> and assert is the sole methodology </w:t>
      </w:r>
      <w:r w:rsidR="00F534DD">
        <w:t>applying to the treatment of retiree health benefit normal costs</w:t>
      </w:r>
      <w:r w:rsidR="00751B55">
        <w:t>.</w:t>
      </w:r>
    </w:p>
    <w:p w14:paraId="4BAA8746" w14:textId="4D88F0BB" w:rsidR="00B414F1" w:rsidRDefault="00391F85" w:rsidP="00751B55">
      <w:r>
        <w:t>However, a</w:t>
      </w:r>
      <w:r w:rsidR="009F56A5">
        <w:t xml:space="preserve">s explained further below, the Commission’s adoption of </w:t>
      </w:r>
      <w:r>
        <w:t xml:space="preserve">this </w:t>
      </w:r>
      <w:r w:rsidR="009F56A5">
        <w:t xml:space="preserve">analytical principle regarding the attribution of </w:t>
      </w:r>
      <w:r w:rsidR="00583B7A">
        <w:t>retiree health</w:t>
      </w:r>
      <w:r w:rsidR="00356A60">
        <w:t xml:space="preserve"> benefit normal</w:t>
      </w:r>
      <w:r w:rsidR="009F56A5">
        <w:t xml:space="preserve"> costs in response to</w:t>
      </w:r>
      <w:r w:rsidR="009D6550">
        <w:t xml:space="preserve"> the</w:t>
      </w:r>
      <w:r w:rsidR="009F56A5">
        <w:t xml:space="preserve"> PAEA d</w:t>
      </w:r>
      <w:r w:rsidR="00C73553">
        <w:t>id</w:t>
      </w:r>
      <w:r w:rsidR="009F56A5">
        <w:t xml:space="preserve"> not supersede </w:t>
      </w:r>
      <w:r w:rsidR="00DC51B9">
        <w:t xml:space="preserve">a </w:t>
      </w:r>
      <w:r w:rsidR="009F56A5">
        <w:t xml:space="preserve">separate </w:t>
      </w:r>
      <w:r w:rsidR="0088270E">
        <w:t xml:space="preserve">longstanding </w:t>
      </w:r>
      <w:r w:rsidR="003A0D3E">
        <w:t xml:space="preserve">analytical </w:t>
      </w:r>
      <w:r w:rsidR="009F56A5">
        <w:t xml:space="preserve">principle </w:t>
      </w:r>
      <w:r w:rsidR="009F56A5">
        <w:lastRenderedPageBreak/>
        <w:t xml:space="preserve">regarding the scope of postal costs and </w:t>
      </w:r>
      <w:r>
        <w:t>resulting</w:t>
      </w:r>
      <w:r w:rsidR="009F56A5">
        <w:t xml:space="preserve"> limits</w:t>
      </w:r>
      <w:r>
        <w:t xml:space="preserve"> on</w:t>
      </w:r>
      <w:r w:rsidR="009F56A5">
        <w:t xml:space="preserve"> the pool of costs that may be attributable to products.</w:t>
      </w:r>
    </w:p>
    <w:p w14:paraId="0E27BCAC" w14:textId="77777777" w:rsidR="0047169A" w:rsidRDefault="0021654B" w:rsidP="005E7388">
      <w:r>
        <w:t>Th</w:t>
      </w:r>
      <w:r w:rsidR="0089125D">
        <w:t>is</w:t>
      </w:r>
      <w:r>
        <w:t xml:space="preserve"> </w:t>
      </w:r>
      <w:r w:rsidR="001C57E5">
        <w:t xml:space="preserve">relevant </w:t>
      </w:r>
      <w:r w:rsidR="00751B55">
        <w:t>analytical principle</w:t>
      </w:r>
      <w:r w:rsidR="001C57E5">
        <w:t xml:space="preserve"> relate</w:t>
      </w:r>
      <w:r w:rsidR="0089125D">
        <w:t>s</w:t>
      </w:r>
      <w:r w:rsidR="001C57E5">
        <w:t xml:space="preserve"> to</w:t>
      </w:r>
      <w:r w:rsidR="00751B55">
        <w:t xml:space="preserve"> </w:t>
      </w:r>
      <w:r w:rsidR="001C57E5">
        <w:t>t</w:t>
      </w:r>
      <w:r w:rsidR="00751B55">
        <w:t>he concepts of "economic costs” and “accounting costs</w:t>
      </w:r>
      <w:r w:rsidR="00970723">
        <w:t>.”</w:t>
      </w:r>
      <w:r w:rsidR="00751B55">
        <w:t xml:space="preserve">  Accounting costs refer to booked costs or the actual amounts </w:t>
      </w:r>
      <w:r w:rsidR="00A743D3">
        <w:t xml:space="preserve">incurred </w:t>
      </w:r>
      <w:r w:rsidR="00304C09">
        <w:t xml:space="preserve">in accordance with existing </w:t>
      </w:r>
      <w:r w:rsidR="00112E70">
        <w:t xml:space="preserve">authoritative accounting literature </w:t>
      </w:r>
      <w:r w:rsidR="00751B55">
        <w:t xml:space="preserve">by the Postal Service.  </w:t>
      </w:r>
      <w:r w:rsidR="0084295D">
        <w:t>As explained above, between FY 2007 and FY 2016, these were the employer premiums and mandated statutory prefunding payments.  Between FY 2017 and FY</w:t>
      </w:r>
      <w:r w:rsidR="003C2062">
        <w:t> </w:t>
      </w:r>
      <w:r w:rsidR="0084295D">
        <w:t xml:space="preserve">2021, these were the amortization payments and retiree health benefit normal cost payments.  </w:t>
      </w:r>
      <w:r w:rsidR="00490004">
        <w:t>In this case, economic costs refer to the retiree health benefit normal costs (even in years when there was not an accounting cost for the normal costs).  Also included in economic costs were costs for the Civil Service Retirement System (CSRS) pensions between FY 2007 and FY 2016.</w:t>
      </w:r>
      <w:r w:rsidR="00490004">
        <w:rPr>
          <w:rStyle w:val="FootnoteReference"/>
        </w:rPr>
        <w:footnoteReference w:id="17"/>
      </w:r>
      <w:r w:rsidR="00490004">
        <w:t xml:space="preserve">  Economic costs include costs for benefits as benefits are earned regardless of whether an actual payment is due for the costs (and thus regardless of whether the economic costs are also accounting costs).</w:t>
      </w:r>
      <w:r w:rsidR="006148E6">
        <w:t xml:space="preserve">  </w:t>
      </w:r>
      <w:r w:rsidR="005E7388">
        <w:t>Th</w:t>
      </w:r>
      <w:r w:rsidR="008B7907">
        <w:t>e</w:t>
      </w:r>
      <w:r w:rsidR="005E7388">
        <w:t xml:space="preserve"> </w:t>
      </w:r>
      <w:r w:rsidR="001D0488">
        <w:t xml:space="preserve">longstanding </w:t>
      </w:r>
      <w:r w:rsidR="00751B55">
        <w:t>analytical principle limit</w:t>
      </w:r>
      <w:r w:rsidR="00A9672A">
        <w:t>s</w:t>
      </w:r>
      <w:r w:rsidR="00751B55">
        <w:t xml:space="preserve"> the extent to which economic costs can be </w:t>
      </w:r>
    </w:p>
    <w:p w14:paraId="64FDC197" w14:textId="77777777" w:rsidR="0047169A" w:rsidRDefault="0047169A">
      <w:pPr>
        <w:spacing w:after="200" w:line="276" w:lineRule="auto"/>
        <w:ind w:firstLine="0"/>
      </w:pPr>
      <w:r>
        <w:br w:type="page"/>
      </w:r>
    </w:p>
    <w:p w14:paraId="7AB6BC74" w14:textId="257DC510" w:rsidR="00C505C0" w:rsidRDefault="00751B55" w:rsidP="0047169A">
      <w:pPr>
        <w:ind w:firstLine="0"/>
      </w:pPr>
      <w:r>
        <w:lastRenderedPageBreak/>
        <w:t xml:space="preserve">attributed </w:t>
      </w:r>
      <w:r w:rsidR="004051A4">
        <w:t xml:space="preserve">to </w:t>
      </w:r>
      <w:r>
        <w:t xml:space="preserve">the </w:t>
      </w:r>
      <w:r w:rsidR="006F16B3">
        <w:t xml:space="preserve">total amount of </w:t>
      </w:r>
      <w:r>
        <w:t>booked or accounting costs.</w:t>
      </w:r>
      <w:r w:rsidR="001D0488">
        <w:rPr>
          <w:rStyle w:val="FootnoteReference"/>
        </w:rPr>
        <w:footnoteReference w:id="18"/>
      </w:r>
      <w:r>
        <w:t xml:space="preserve"> </w:t>
      </w:r>
      <w:r w:rsidR="00DC24FD">
        <w:t xml:space="preserve"> </w:t>
      </w:r>
      <w:r>
        <w:t xml:space="preserve">As a result, total accounting costs serve as a ceiling that </w:t>
      </w:r>
      <w:r w:rsidR="004247A9">
        <w:t xml:space="preserve">attributed </w:t>
      </w:r>
      <w:r>
        <w:t>economic costs cannot exceed.</w:t>
      </w:r>
    </w:p>
    <w:p w14:paraId="04653C61" w14:textId="35019CE9" w:rsidR="00F0609A" w:rsidRDefault="00E226A8" w:rsidP="005E7388">
      <w:r w:rsidRPr="00FD2C86">
        <w:t>The Mailers and PSA place significant weight on Postal Service’s comments in Docket No. RM2007-1, which they allege make clear that retiree health benefit normal costs were expected to be considered “economic costs” that would be attributed as they were earned.</w:t>
      </w:r>
      <w:r w:rsidR="00693D3A">
        <w:rPr>
          <w:rStyle w:val="FootnoteReference"/>
        </w:rPr>
        <w:footnoteReference w:id="19"/>
      </w:r>
      <w:r w:rsidR="005227B9">
        <w:t xml:space="preserve">  The Mailers assert that the Commission </w:t>
      </w:r>
      <w:r w:rsidR="00D66BD9">
        <w:t>“</w:t>
      </w:r>
      <w:r w:rsidR="00A607EC">
        <w:t>agreed</w:t>
      </w:r>
      <w:r w:rsidR="00D66BD9">
        <w:t>”</w:t>
      </w:r>
      <w:r w:rsidR="00A607EC">
        <w:t xml:space="preserve"> with the Postal Service’s approach</w:t>
      </w:r>
      <w:r w:rsidR="00D66BD9">
        <w:t xml:space="preserve"> and that </w:t>
      </w:r>
      <w:r w:rsidR="000E5927">
        <w:t>the attribution of these costs was resolved in Docket No. RM2007-1.  Mailers’ Motion and Petition at 6, 8.</w:t>
      </w:r>
      <w:r w:rsidR="006B1827">
        <w:t xml:space="preserve">  The Mailers</w:t>
      </w:r>
      <w:r w:rsidR="00F444A0">
        <w:t xml:space="preserve"> and PSA</w:t>
      </w:r>
      <w:r w:rsidR="006B1827">
        <w:t xml:space="preserve"> are correct that </w:t>
      </w:r>
      <w:r w:rsidR="002218FA">
        <w:lastRenderedPageBreak/>
        <w:t>the Postal Service’s comments</w:t>
      </w:r>
      <w:r w:rsidR="008A7FB1">
        <w:t xml:space="preserve"> reflect the </w:t>
      </w:r>
      <w:r w:rsidR="00AA7987">
        <w:t xml:space="preserve">analytical principle that </w:t>
      </w:r>
      <w:r w:rsidR="001F09DE">
        <w:t>retiree health benefit normal</w:t>
      </w:r>
      <w:r w:rsidR="00063568">
        <w:t xml:space="preserve"> </w:t>
      </w:r>
      <w:r w:rsidR="00AF42B8">
        <w:t xml:space="preserve">costs </w:t>
      </w:r>
      <w:r w:rsidR="00CC3BB7">
        <w:t>would be</w:t>
      </w:r>
      <w:r w:rsidR="00063568">
        <w:t xml:space="preserve"> attributed to products.</w:t>
      </w:r>
      <w:r w:rsidRPr="00FD2C86">
        <w:t xml:space="preserve">  However, the Mailers and PSA ignore </w:t>
      </w:r>
      <w:r w:rsidR="00C03397">
        <w:t xml:space="preserve">that the Postal Service’s comments and the approach adopted by the Commission </w:t>
      </w:r>
      <w:r w:rsidR="001E37C5">
        <w:t xml:space="preserve">also included </w:t>
      </w:r>
      <w:r w:rsidRPr="00FD2C86">
        <w:t xml:space="preserve">the critical </w:t>
      </w:r>
      <w:r>
        <w:t xml:space="preserve">limiting principle </w:t>
      </w:r>
      <w:r w:rsidR="00111AD6">
        <w:t xml:space="preserve">that the extent to which these economic costs can be attributed is capped at the total amount of accounting costs </w:t>
      </w:r>
      <w:r w:rsidRPr="00FD2C86">
        <w:t xml:space="preserve">and focus solely on the </w:t>
      </w:r>
      <w:r>
        <w:t>principle related to attributing retiree health benefit normal costs</w:t>
      </w:r>
      <w:r w:rsidRPr="00FD2C86">
        <w:t xml:space="preserve"> in </w:t>
      </w:r>
      <w:r>
        <w:t>their selective emphasis of the Postal Service’s comments</w:t>
      </w:r>
      <w:r w:rsidRPr="00FD2C86">
        <w:t>.</w:t>
      </w:r>
      <w:r>
        <w:t xml:space="preserve">  In the referenced comments, the </w:t>
      </w:r>
      <w:r w:rsidR="00344330">
        <w:t>Postal Service</w:t>
      </w:r>
      <w:r>
        <w:t xml:space="preserve"> </w:t>
      </w:r>
      <w:r w:rsidR="009654AB">
        <w:t>emphasized</w:t>
      </w:r>
      <w:r>
        <w:t xml:space="preserve"> the need</w:t>
      </w:r>
      <w:r w:rsidR="009A518F">
        <w:t xml:space="preserve"> to apply</w:t>
      </w:r>
      <w:r>
        <w:t xml:space="preserve"> </w:t>
      </w:r>
      <w:r w:rsidR="00AA271C">
        <w:t>the</w:t>
      </w:r>
      <w:r>
        <w:t xml:space="preserve"> limiting principle</w:t>
      </w:r>
      <w:r w:rsidR="009A518F">
        <w:t xml:space="preserve"> to </w:t>
      </w:r>
      <w:r w:rsidR="00473296">
        <w:t>retiree health benefit normal costs</w:t>
      </w:r>
      <w:r>
        <w:t>, stating</w:t>
      </w:r>
      <w:r w:rsidR="009917DC">
        <w:t xml:space="preserve"> that:</w:t>
      </w:r>
    </w:p>
    <w:p w14:paraId="31E76C6B" w14:textId="20D986F6" w:rsidR="009917DC" w:rsidRPr="009917DC" w:rsidRDefault="009917DC" w:rsidP="009917DC">
      <w:pPr>
        <w:spacing w:before="120" w:after="120" w:line="240" w:lineRule="auto"/>
        <w:ind w:left="1440" w:right="1440" w:firstLine="0"/>
        <w:rPr>
          <w:sz w:val="22"/>
          <w:szCs w:val="22"/>
        </w:rPr>
      </w:pPr>
      <w:r w:rsidRPr="009917DC">
        <w:rPr>
          <w:sz w:val="22"/>
          <w:szCs w:val="22"/>
        </w:rPr>
        <w:t>[I]</w:t>
      </w:r>
      <w:r w:rsidR="00E226A8" w:rsidRPr="009917DC">
        <w:rPr>
          <w:sz w:val="22"/>
          <w:szCs w:val="22"/>
        </w:rPr>
        <w:t xml:space="preserve">t will be necessary to reconcile the economic and accounting costs reported in the Postal Service statements, with the primary concern being that the attributed ‘economic’ costs </w:t>
      </w:r>
      <w:proofErr w:type="gramStart"/>
      <w:r w:rsidR="00E226A8" w:rsidRPr="009917DC">
        <w:rPr>
          <w:sz w:val="22"/>
          <w:szCs w:val="22"/>
        </w:rPr>
        <w:t>not exceed</w:t>
      </w:r>
      <w:proofErr w:type="gramEnd"/>
      <w:r w:rsidR="00E226A8" w:rsidRPr="009917DC">
        <w:rPr>
          <w:sz w:val="22"/>
          <w:szCs w:val="22"/>
        </w:rPr>
        <w:t xml:space="preserve"> the accounting costs.  This can be addressed by setting the accounting costs as a ceiling that the attributed costs may not exceed.</w:t>
      </w:r>
    </w:p>
    <w:p w14:paraId="632191D3" w14:textId="7A1332FE" w:rsidR="00E226A8" w:rsidRDefault="00E226A8" w:rsidP="009917DC">
      <w:pPr>
        <w:ind w:firstLine="0"/>
      </w:pPr>
      <w:r w:rsidRPr="00FD2C86">
        <w:t xml:space="preserve">Docket No. RM2007-1 Postal Service Comments at </w:t>
      </w:r>
      <w:r>
        <w:t>30.</w:t>
      </w:r>
      <w:r w:rsidR="00D0466F">
        <w:t xml:space="preserve">  It is these two principles </w:t>
      </w:r>
      <w:r w:rsidR="005D12B3">
        <w:t xml:space="preserve">together that determine the extent to which </w:t>
      </w:r>
      <w:r w:rsidR="00102CB5">
        <w:t>economic costs</w:t>
      </w:r>
      <w:r w:rsidR="00D25E44">
        <w:t xml:space="preserve"> (</w:t>
      </w:r>
      <w:r w:rsidR="00D25E44">
        <w:rPr>
          <w:i/>
          <w:iCs/>
        </w:rPr>
        <w:t>e.g.</w:t>
      </w:r>
      <w:r w:rsidR="00D25E44">
        <w:t>, retiree health benefit normal costs)</w:t>
      </w:r>
      <w:r w:rsidR="00102CB5">
        <w:t xml:space="preserve"> are attributed to products.</w:t>
      </w:r>
    </w:p>
    <w:p w14:paraId="6B0D22C4" w14:textId="1CD1B4EE" w:rsidR="00751B55" w:rsidRDefault="00690D5D" w:rsidP="005E7388">
      <w:r>
        <w:t>A</w:t>
      </w:r>
      <w:r w:rsidR="005F5F56">
        <w:t>nother</w:t>
      </w:r>
      <w:r>
        <w:t xml:space="preserve"> </w:t>
      </w:r>
      <w:r w:rsidR="00F460D7">
        <w:t xml:space="preserve">fundamental analytical principle is that </w:t>
      </w:r>
      <w:r w:rsidR="00936A9D">
        <w:t xml:space="preserve">the </w:t>
      </w:r>
      <w:r w:rsidR="009768EC">
        <w:t>Postal Service’s accounting systems</w:t>
      </w:r>
      <w:r w:rsidR="0061046F">
        <w:t xml:space="preserve"> </w:t>
      </w:r>
      <w:r w:rsidR="00DE16B7">
        <w:t>record</w:t>
      </w:r>
      <w:r w:rsidR="0061046F">
        <w:t xml:space="preserve"> the costs that accrue to the Postal Service each fiscal year</w:t>
      </w:r>
      <w:r w:rsidR="0095134B">
        <w:t xml:space="preserve"> (</w:t>
      </w:r>
      <w:r w:rsidR="0095134B">
        <w:rPr>
          <w:i/>
          <w:iCs/>
        </w:rPr>
        <w:t>i.e.,</w:t>
      </w:r>
      <w:r w:rsidR="0095134B">
        <w:t xml:space="preserve"> </w:t>
      </w:r>
      <w:r w:rsidR="006025F9">
        <w:t>the accounting costs)</w:t>
      </w:r>
      <w:r w:rsidR="00C1361F">
        <w:t>.</w:t>
      </w:r>
      <w:r w:rsidR="00B51A41">
        <w:t xml:space="preserve">  </w:t>
      </w:r>
      <w:r w:rsidR="00B51A41">
        <w:rPr>
          <w:i/>
          <w:iCs/>
        </w:rPr>
        <w:t xml:space="preserve">See </w:t>
      </w:r>
      <w:r w:rsidR="00B51A41">
        <w:t>n.1</w:t>
      </w:r>
      <w:r w:rsidR="00B851BD">
        <w:t>7</w:t>
      </w:r>
      <w:r w:rsidR="00B51A41">
        <w:t xml:space="preserve">, </w:t>
      </w:r>
      <w:r w:rsidR="00B51A41">
        <w:rPr>
          <w:i/>
          <w:iCs/>
        </w:rPr>
        <w:t>supra</w:t>
      </w:r>
      <w:r w:rsidR="00987E5E">
        <w:t xml:space="preserve"> and n.2</w:t>
      </w:r>
      <w:r w:rsidR="00B851BD">
        <w:t>2</w:t>
      </w:r>
      <w:r w:rsidR="00987E5E">
        <w:t xml:space="preserve">, </w:t>
      </w:r>
      <w:r w:rsidR="00987E5E">
        <w:rPr>
          <w:i/>
          <w:iCs/>
        </w:rPr>
        <w:t>infra</w:t>
      </w:r>
      <w:r w:rsidR="00B51A41">
        <w:rPr>
          <w:i/>
          <w:iCs/>
        </w:rPr>
        <w:t>.</w:t>
      </w:r>
      <w:r w:rsidR="00C1361F">
        <w:t xml:space="preserve">  </w:t>
      </w:r>
      <w:r w:rsidR="00EB5560">
        <w:t>While accounting rules incorporate elements that mirror concepts of economic costing (</w:t>
      </w:r>
      <w:r w:rsidR="00EB5560" w:rsidRPr="00334441">
        <w:rPr>
          <w:i/>
          <w:iCs/>
        </w:rPr>
        <w:t>e.g.</w:t>
      </w:r>
      <w:r w:rsidR="00EB5560">
        <w:t xml:space="preserve">, </w:t>
      </w:r>
      <w:r w:rsidR="00665096">
        <w:t xml:space="preserve">accrual accounting recognizes costs and revenues when incurred, even if payment occurs at a different time), </w:t>
      </w:r>
      <w:r w:rsidR="00FC6E82">
        <w:t xml:space="preserve">accounting costs do not </w:t>
      </w:r>
      <w:r w:rsidR="00C9370E">
        <w:t>always align with economic costs.</w:t>
      </w:r>
      <w:r w:rsidR="00C9370E">
        <w:rPr>
          <w:rStyle w:val="FootnoteReference"/>
        </w:rPr>
        <w:footnoteReference w:id="20"/>
      </w:r>
    </w:p>
    <w:p w14:paraId="505DE01C" w14:textId="4CA2A516" w:rsidR="009A6A83" w:rsidRDefault="00657019" w:rsidP="005E7388">
      <w:r>
        <w:t xml:space="preserve">Attributable costs </w:t>
      </w:r>
      <w:r w:rsidR="004D5572">
        <w:t>are</w:t>
      </w:r>
      <w:r w:rsidR="00145E0D">
        <w:t xml:space="preserve"> statutorily defined as “the direct and indirect </w:t>
      </w:r>
      <w:r w:rsidR="00D65299">
        <w:t>postal costs attributable to . . . product[s] through reliably identified causal relationships</w:t>
      </w:r>
      <w:r w:rsidR="00F731E4">
        <w:t>.</w:t>
      </w:r>
      <w:r w:rsidR="00DD4E54">
        <w:t>”</w:t>
      </w:r>
      <w:r w:rsidR="00686820">
        <w:t xml:space="preserve"> </w:t>
      </w:r>
      <w:r w:rsidR="00D4707E">
        <w:t xml:space="preserve"> </w:t>
      </w:r>
      <w:r w:rsidR="00842615">
        <w:t>39 U.S.C.</w:t>
      </w:r>
      <w:r w:rsidR="00686820">
        <w:t xml:space="preserve"> 3631(b)</w:t>
      </w:r>
      <w:r w:rsidR="00891D2A">
        <w:t xml:space="preserve">.  </w:t>
      </w:r>
      <w:r w:rsidR="00C82400">
        <w:t>Economic cost</w:t>
      </w:r>
      <w:r w:rsidR="00BE7136">
        <w:t xml:space="preserve"> analysis is</w:t>
      </w:r>
      <w:r w:rsidR="00C82400">
        <w:t xml:space="preserve"> relevant to the determination of attributable costs</w:t>
      </w:r>
      <w:r w:rsidR="0017658F">
        <w:t xml:space="preserve"> </w:t>
      </w:r>
      <w:r w:rsidR="00602D21">
        <w:t xml:space="preserve">in some circumstances </w:t>
      </w:r>
      <w:r w:rsidR="0017658F">
        <w:t>because it can</w:t>
      </w:r>
      <w:r w:rsidR="007F5F6F">
        <w:t xml:space="preserve"> identify and measure </w:t>
      </w:r>
      <w:r w:rsidR="00321CB4">
        <w:t xml:space="preserve">costs with a causal </w:t>
      </w:r>
      <w:r w:rsidR="00321CB4">
        <w:lastRenderedPageBreak/>
        <w:t>relationship to a product or group of products</w:t>
      </w:r>
      <w:r w:rsidR="00350575">
        <w:t xml:space="preserve"> (as it has in the case of retiree health benefit normal costs)</w:t>
      </w:r>
      <w:r w:rsidR="00321CB4">
        <w:t xml:space="preserve">.  However, because </w:t>
      </w:r>
      <w:r w:rsidR="00E33ED0">
        <w:t xml:space="preserve">attributable costs are a subset of </w:t>
      </w:r>
      <w:r w:rsidR="00C66A16">
        <w:t xml:space="preserve">total </w:t>
      </w:r>
      <w:r w:rsidR="00C47DCD">
        <w:t>postal costs, they cannot exceed th</w:t>
      </w:r>
      <w:r w:rsidR="00F33721">
        <w:t>e</w:t>
      </w:r>
      <w:r w:rsidR="00B2536A">
        <w:t xml:space="preserve"> </w:t>
      </w:r>
      <w:r w:rsidR="00A8181E">
        <w:t xml:space="preserve">corresponding </w:t>
      </w:r>
      <w:r w:rsidR="000B659A">
        <w:t xml:space="preserve">total </w:t>
      </w:r>
      <w:r w:rsidR="00A8181E">
        <w:t>accounting costs</w:t>
      </w:r>
      <w:r w:rsidR="000B659A">
        <w:t>,</w:t>
      </w:r>
      <w:r w:rsidR="00A8181E">
        <w:t xml:space="preserve"> </w:t>
      </w:r>
      <w:r w:rsidR="00C77955">
        <w:t xml:space="preserve">which </w:t>
      </w:r>
      <w:r w:rsidR="00AB5927">
        <w:t>define</w:t>
      </w:r>
      <w:r w:rsidR="003F33F1">
        <w:t xml:space="preserve"> and measure</w:t>
      </w:r>
      <w:r w:rsidR="00AB5927">
        <w:t xml:space="preserve"> the </w:t>
      </w:r>
      <w:r w:rsidR="003F33F1">
        <w:t xml:space="preserve">accrued </w:t>
      </w:r>
      <w:r w:rsidR="00AB5927">
        <w:t>costs of the Postal Service each fiscal year.</w:t>
      </w:r>
    </w:p>
    <w:p w14:paraId="512E040C" w14:textId="3BC3E7C5" w:rsidR="00A946B9" w:rsidRDefault="009A6A83" w:rsidP="005E7388">
      <w:r>
        <w:t>In e</w:t>
      </w:r>
      <w:r w:rsidR="000E732E">
        <w:t>ach year s</w:t>
      </w:r>
      <w:r w:rsidR="00E81FF7">
        <w:t>ince FY</w:t>
      </w:r>
      <w:r w:rsidR="000E732E">
        <w:t xml:space="preserve"> </w:t>
      </w:r>
      <w:r w:rsidR="00E81FF7">
        <w:t>2007</w:t>
      </w:r>
      <w:r w:rsidR="000E732E">
        <w:t xml:space="preserve">, </w:t>
      </w:r>
      <w:r w:rsidR="004A3573">
        <w:t xml:space="preserve">the </w:t>
      </w:r>
      <w:r w:rsidR="00416CF1">
        <w:t xml:space="preserve">attributable portion of the </w:t>
      </w:r>
      <w:r w:rsidR="004A3573">
        <w:t>economic cost</w:t>
      </w:r>
      <w:r w:rsidR="007534ED">
        <w:t>s</w:t>
      </w:r>
      <w:r w:rsidR="004A3573">
        <w:t xml:space="preserve"> </w:t>
      </w:r>
      <w:r w:rsidR="00416CF1">
        <w:t>w</w:t>
      </w:r>
      <w:r w:rsidR="007534ED">
        <w:t>ere</w:t>
      </w:r>
      <w:r w:rsidR="00416CF1">
        <w:t xml:space="preserve"> less than the </w:t>
      </w:r>
      <w:r w:rsidR="00BA0B1D">
        <w:t xml:space="preserve">total </w:t>
      </w:r>
      <w:r w:rsidR="00416CF1">
        <w:t>accounting cost</w:t>
      </w:r>
      <w:r w:rsidR="002E41EF">
        <w:t>s</w:t>
      </w:r>
      <w:r w:rsidR="007534ED">
        <w:t xml:space="preserve">.  </w:t>
      </w:r>
      <w:r w:rsidR="00FE4860">
        <w:t xml:space="preserve">This allowed </w:t>
      </w:r>
      <w:r w:rsidR="00412CAE">
        <w:t xml:space="preserve">the analytical principle </w:t>
      </w:r>
      <w:r w:rsidR="00C21CAF">
        <w:t>regarding the</w:t>
      </w:r>
      <w:r w:rsidR="00412CAE">
        <w:t xml:space="preserve"> attribut</w:t>
      </w:r>
      <w:r w:rsidR="00C21CAF">
        <w:t>ion of</w:t>
      </w:r>
      <w:r w:rsidR="00C8545A">
        <w:t xml:space="preserve"> retiree health benefit</w:t>
      </w:r>
      <w:r w:rsidR="00412CAE">
        <w:t xml:space="preserve"> </w:t>
      </w:r>
      <w:r w:rsidR="00C8545A">
        <w:t>n</w:t>
      </w:r>
      <w:r w:rsidR="00412CAE">
        <w:t>ormal costs</w:t>
      </w:r>
      <w:r w:rsidR="00C8545A">
        <w:t xml:space="preserve"> to be applied</w:t>
      </w:r>
      <w:r w:rsidR="00412CAE">
        <w:t xml:space="preserve"> </w:t>
      </w:r>
      <w:r w:rsidR="00494121">
        <w:t xml:space="preserve">without </w:t>
      </w:r>
      <w:r w:rsidR="00F274E3">
        <w:t>contravening</w:t>
      </w:r>
      <w:r w:rsidR="00AA43D0">
        <w:t xml:space="preserve"> the </w:t>
      </w:r>
      <w:r w:rsidR="00C8545A">
        <w:t xml:space="preserve">additional limiting </w:t>
      </w:r>
      <w:r w:rsidR="00AA43D0">
        <w:t xml:space="preserve">principle that </w:t>
      </w:r>
      <w:r w:rsidR="002E30E5">
        <w:t xml:space="preserve">attributable costs cannot be greater than accounting costs.  The principle </w:t>
      </w:r>
      <w:r w:rsidR="00D13AD9">
        <w:t xml:space="preserve">was applied so that the attributable portion of economic costs </w:t>
      </w:r>
      <w:r w:rsidR="008065C8">
        <w:t xml:space="preserve">were </w:t>
      </w:r>
      <w:r w:rsidR="00501630">
        <w:t>classified</w:t>
      </w:r>
      <w:r w:rsidR="008065C8">
        <w:t xml:space="preserve"> as attributable costs and the remainder of the </w:t>
      </w:r>
      <w:r w:rsidR="002E41EF">
        <w:t xml:space="preserve">accounting costs were </w:t>
      </w:r>
      <w:r w:rsidR="00501630">
        <w:t>classified</w:t>
      </w:r>
      <w:r w:rsidR="002E41EF">
        <w:t xml:space="preserve"> as institutional costs.</w:t>
      </w:r>
    </w:p>
    <w:p w14:paraId="2353FCFF" w14:textId="72661136" w:rsidR="004D2A47" w:rsidRDefault="007B09CE" w:rsidP="007B09CE">
      <w:pPr>
        <w:rPr>
          <w:rFonts w:eastAsia="Calibri"/>
        </w:rPr>
      </w:pPr>
      <w:r>
        <w:t xml:space="preserve">In FY 2022, a different situation </w:t>
      </w:r>
      <w:r w:rsidR="00643301">
        <w:t>arose</w:t>
      </w:r>
      <w:r>
        <w:t xml:space="preserve"> because </w:t>
      </w:r>
      <w:r w:rsidRPr="00BE70A1">
        <w:rPr>
          <w:rFonts w:eastAsia="Calibri"/>
        </w:rPr>
        <w:t>accounting costs for retiree health benefits were zero</w:t>
      </w:r>
      <w:r w:rsidR="007C247B">
        <w:rPr>
          <w:rFonts w:eastAsia="Calibri"/>
        </w:rPr>
        <w:t xml:space="preserve"> in FY 2022</w:t>
      </w:r>
      <w:r w:rsidRPr="00BE70A1">
        <w:rPr>
          <w:rFonts w:eastAsia="Calibri"/>
        </w:rPr>
        <w:t xml:space="preserve"> due to the PSRA.  The FY 2022 retiree health benefit normal costs were accrued on the </w:t>
      </w:r>
      <w:r>
        <w:rPr>
          <w:rFonts w:eastAsia="Calibri"/>
        </w:rPr>
        <w:t>T</w:t>
      </w:r>
      <w:r w:rsidRPr="00BE70A1">
        <w:rPr>
          <w:rFonts w:eastAsia="Calibri"/>
        </w:rPr>
        <w:t xml:space="preserve">rial </w:t>
      </w:r>
      <w:r>
        <w:rPr>
          <w:rFonts w:eastAsia="Calibri"/>
        </w:rPr>
        <w:t>B</w:t>
      </w:r>
      <w:r w:rsidRPr="00BE70A1">
        <w:rPr>
          <w:rFonts w:eastAsia="Calibri"/>
        </w:rPr>
        <w:t>alance from October 2021 (the start of FY 2022) through March 2022 (the last month before the PSRA took effect) because during that period, the Postal Service was expected to be obligated to pay the retiree health benefit normal costs pursuant to the not-yet-repealed provisions of the PAEA.  Then the accrual was reversed pursuant to Section 102(c)(1) of the PSRA as shown in Table I.</w:t>
      </w:r>
      <w:r w:rsidRPr="00BE70A1">
        <w:rPr>
          <w:rFonts w:eastAsia="Calibri"/>
          <w:vertAlign w:val="superscript"/>
        </w:rPr>
        <w:footnoteReference w:id="21"/>
      </w:r>
    </w:p>
    <w:p w14:paraId="50AF4C63" w14:textId="77777777" w:rsidR="004D2A47" w:rsidRDefault="004D2A47">
      <w:pPr>
        <w:spacing w:after="200" w:line="276" w:lineRule="auto"/>
        <w:ind w:firstLine="0"/>
        <w:rPr>
          <w:rFonts w:eastAsia="Calibri"/>
        </w:rPr>
      </w:pPr>
      <w:r>
        <w:rPr>
          <w:rFonts w:eastAsia="Calibri"/>
        </w:rPr>
        <w:br w:type="page"/>
      </w:r>
    </w:p>
    <w:p w14:paraId="51F1F289" w14:textId="25053F8D" w:rsidR="007B09CE" w:rsidRPr="00BE70A1" w:rsidRDefault="007B09CE" w:rsidP="00CB06D6">
      <w:pPr>
        <w:spacing w:line="240" w:lineRule="auto"/>
        <w:ind w:firstLine="0"/>
        <w:jc w:val="center"/>
        <w:rPr>
          <w:rFonts w:eastAsia="Calibri" w:cs="Times New Roman"/>
          <w:b/>
          <w:kern w:val="0"/>
          <w:szCs w:val="22"/>
        </w:rPr>
      </w:pPr>
      <w:r w:rsidRPr="00BE70A1">
        <w:rPr>
          <w:rFonts w:eastAsia="Calibri" w:cs="Times New Roman"/>
          <w:b/>
          <w:kern w:val="0"/>
          <w:szCs w:val="22"/>
        </w:rPr>
        <w:lastRenderedPageBreak/>
        <w:t>Table I</w:t>
      </w:r>
    </w:p>
    <w:tbl>
      <w:tblPr>
        <w:tblStyle w:val="TableGrid1"/>
        <w:tblW w:w="10350" w:type="dxa"/>
        <w:tblLayout w:type="fixed"/>
        <w:tblLook w:val="06A0" w:firstRow="1" w:lastRow="0" w:firstColumn="1" w:lastColumn="0" w:noHBand="1" w:noVBand="1"/>
      </w:tblPr>
      <w:tblGrid>
        <w:gridCol w:w="1170"/>
        <w:gridCol w:w="1980"/>
        <w:gridCol w:w="1890"/>
        <w:gridCol w:w="2070"/>
        <w:gridCol w:w="1350"/>
        <w:gridCol w:w="1890"/>
      </w:tblGrid>
      <w:tr w:rsidR="007B09CE" w:rsidRPr="00BE70A1" w14:paraId="71A43650" w14:textId="77777777">
        <w:trPr>
          <w:trHeight w:val="300"/>
        </w:trPr>
        <w:tc>
          <w:tcPr>
            <w:tcW w:w="10350" w:type="dxa"/>
            <w:gridSpan w:val="6"/>
            <w:tcBorders>
              <w:top w:val="nil"/>
              <w:left w:val="nil"/>
              <w:bottom w:val="nil"/>
              <w:right w:val="nil"/>
            </w:tcBorders>
            <w:vAlign w:val="bottom"/>
          </w:tcPr>
          <w:p w14:paraId="49F25B45" w14:textId="77777777" w:rsidR="007B09CE" w:rsidRPr="00BE70A1" w:rsidRDefault="007B09CE" w:rsidP="00CB06D6">
            <w:pPr>
              <w:spacing w:line="240" w:lineRule="auto"/>
              <w:ind w:firstLine="0"/>
              <w:jc w:val="center"/>
              <w:rPr>
                <w:rFonts w:eastAsia="Calibri"/>
                <w:b/>
                <w:color w:val="000000"/>
                <w:kern w:val="0"/>
                <w:szCs w:val="22"/>
              </w:rPr>
            </w:pPr>
            <w:r w:rsidRPr="00BE70A1">
              <w:rPr>
                <w:rFonts w:eastAsia="Calibri" w:cs="Times New Roman"/>
                <w:b/>
                <w:kern w:val="0"/>
                <w:szCs w:val="22"/>
              </w:rPr>
              <w:t>FY 2022 Accrual of Retiree Health Benefits Normal Costs</w:t>
            </w:r>
            <w:r>
              <w:rPr>
                <w:rFonts w:eastAsia="Calibri" w:cs="Times New Roman"/>
                <w:b/>
                <w:kern w:val="0"/>
                <w:szCs w:val="22"/>
              </w:rPr>
              <w:br/>
            </w:r>
            <w:r w:rsidRPr="00BE70A1">
              <w:rPr>
                <w:rFonts w:eastAsia="Calibri"/>
                <w:b/>
                <w:color w:val="000000"/>
                <w:kern w:val="0"/>
                <w:szCs w:val="22"/>
              </w:rPr>
              <w:t>National Trial Balance</w:t>
            </w:r>
          </w:p>
        </w:tc>
      </w:tr>
      <w:tr w:rsidR="007B09CE" w:rsidRPr="00BE70A1" w14:paraId="01181319" w14:textId="77777777">
        <w:trPr>
          <w:trHeight w:val="1035"/>
        </w:trPr>
        <w:tc>
          <w:tcPr>
            <w:tcW w:w="1170" w:type="dxa"/>
            <w:tcBorders>
              <w:top w:val="single" w:sz="4" w:space="0" w:color="auto"/>
              <w:left w:val="single" w:sz="4" w:space="0" w:color="auto"/>
              <w:bottom w:val="single" w:sz="4" w:space="0" w:color="auto"/>
              <w:right w:val="single" w:sz="4" w:space="0" w:color="auto"/>
            </w:tcBorders>
          </w:tcPr>
          <w:p w14:paraId="43C48982" w14:textId="77777777" w:rsidR="007B09CE" w:rsidRPr="00BE70A1" w:rsidRDefault="007B09CE">
            <w:pPr>
              <w:spacing w:line="240" w:lineRule="auto"/>
              <w:ind w:firstLine="0"/>
              <w:jc w:val="center"/>
              <w:rPr>
                <w:rFonts w:eastAsia="Calibri"/>
                <w:kern w:val="0"/>
                <w:szCs w:val="22"/>
              </w:rPr>
            </w:pPr>
            <w:r w:rsidRPr="00BE70A1">
              <w:rPr>
                <w:rFonts w:eastAsia="Verdana"/>
                <w:b/>
                <w:kern w:val="0"/>
                <w:sz w:val="20"/>
                <w:szCs w:val="20"/>
              </w:rPr>
              <w:t>Effective Account (8 Digits)</w:t>
            </w:r>
          </w:p>
        </w:tc>
        <w:tc>
          <w:tcPr>
            <w:tcW w:w="1980" w:type="dxa"/>
            <w:tcBorders>
              <w:top w:val="single" w:sz="4" w:space="0" w:color="auto"/>
              <w:left w:val="single" w:sz="4" w:space="0" w:color="auto"/>
              <w:bottom w:val="single" w:sz="4" w:space="0" w:color="auto"/>
              <w:right w:val="single" w:sz="4" w:space="0" w:color="auto"/>
            </w:tcBorders>
          </w:tcPr>
          <w:p w14:paraId="65DC102C" w14:textId="77777777" w:rsidR="007B09CE" w:rsidRPr="00BE70A1" w:rsidRDefault="007B09CE">
            <w:pPr>
              <w:spacing w:line="240" w:lineRule="auto"/>
              <w:jc w:val="center"/>
              <w:rPr>
                <w:rFonts w:eastAsia="Calibri"/>
                <w:kern w:val="0"/>
                <w:szCs w:val="22"/>
              </w:rPr>
            </w:pPr>
          </w:p>
        </w:tc>
        <w:tc>
          <w:tcPr>
            <w:tcW w:w="1890" w:type="dxa"/>
            <w:tcBorders>
              <w:top w:val="single" w:sz="4" w:space="0" w:color="auto"/>
              <w:left w:val="single" w:sz="4" w:space="0" w:color="auto"/>
              <w:bottom w:val="single" w:sz="4" w:space="0" w:color="auto"/>
              <w:right w:val="single" w:sz="4" w:space="0" w:color="auto"/>
            </w:tcBorders>
            <w:vAlign w:val="bottom"/>
          </w:tcPr>
          <w:p w14:paraId="466560EB" w14:textId="77777777" w:rsidR="007B09CE" w:rsidRPr="00BE70A1" w:rsidRDefault="007B09CE">
            <w:pPr>
              <w:spacing w:line="240" w:lineRule="auto"/>
              <w:ind w:firstLine="0"/>
              <w:jc w:val="center"/>
              <w:rPr>
                <w:rFonts w:eastAsia="Verdana"/>
                <w:b/>
                <w:kern w:val="0"/>
                <w:sz w:val="20"/>
                <w:szCs w:val="20"/>
              </w:rPr>
            </w:pPr>
            <w:r w:rsidRPr="00BE70A1">
              <w:rPr>
                <w:rFonts w:eastAsia="Verdana"/>
                <w:b/>
                <w:kern w:val="0"/>
                <w:sz w:val="20"/>
                <w:szCs w:val="20"/>
              </w:rPr>
              <w:t>Month Beginning Balance</w:t>
            </w:r>
          </w:p>
        </w:tc>
        <w:tc>
          <w:tcPr>
            <w:tcW w:w="2070" w:type="dxa"/>
            <w:tcBorders>
              <w:top w:val="single" w:sz="4" w:space="0" w:color="auto"/>
              <w:left w:val="single" w:sz="4" w:space="0" w:color="auto"/>
              <w:bottom w:val="single" w:sz="4" w:space="0" w:color="auto"/>
              <w:right w:val="single" w:sz="4" w:space="0" w:color="auto"/>
            </w:tcBorders>
            <w:vAlign w:val="bottom"/>
          </w:tcPr>
          <w:p w14:paraId="3A43F7A8" w14:textId="77777777" w:rsidR="007B09CE" w:rsidRPr="00BE70A1" w:rsidRDefault="007B09CE">
            <w:pPr>
              <w:spacing w:line="240" w:lineRule="auto"/>
              <w:ind w:firstLine="0"/>
              <w:jc w:val="center"/>
              <w:rPr>
                <w:rFonts w:eastAsia="Verdana"/>
                <w:b/>
                <w:kern w:val="0"/>
                <w:sz w:val="20"/>
                <w:szCs w:val="20"/>
              </w:rPr>
            </w:pPr>
            <w:r w:rsidRPr="00BE70A1">
              <w:rPr>
                <w:rFonts w:eastAsia="Verdana"/>
                <w:b/>
                <w:kern w:val="0"/>
                <w:sz w:val="20"/>
                <w:szCs w:val="20"/>
              </w:rPr>
              <w:t>Month Activity</w:t>
            </w:r>
          </w:p>
        </w:tc>
        <w:tc>
          <w:tcPr>
            <w:tcW w:w="1350" w:type="dxa"/>
            <w:tcBorders>
              <w:top w:val="single" w:sz="4" w:space="0" w:color="auto"/>
              <w:left w:val="single" w:sz="4" w:space="0" w:color="auto"/>
              <w:bottom w:val="single" w:sz="4" w:space="0" w:color="auto"/>
              <w:right w:val="single" w:sz="4" w:space="0" w:color="auto"/>
            </w:tcBorders>
            <w:vAlign w:val="bottom"/>
          </w:tcPr>
          <w:p w14:paraId="5C80AB2A" w14:textId="77777777" w:rsidR="007B09CE" w:rsidRPr="00BE70A1" w:rsidRDefault="007B09CE">
            <w:pPr>
              <w:spacing w:line="240" w:lineRule="auto"/>
              <w:ind w:firstLine="0"/>
              <w:jc w:val="center"/>
              <w:rPr>
                <w:rFonts w:eastAsia="Verdana"/>
                <w:b/>
                <w:kern w:val="0"/>
                <w:sz w:val="20"/>
                <w:szCs w:val="20"/>
              </w:rPr>
            </w:pPr>
            <w:r w:rsidRPr="00BE70A1">
              <w:rPr>
                <w:rFonts w:eastAsia="Verdana"/>
                <w:b/>
                <w:kern w:val="0"/>
                <w:sz w:val="20"/>
                <w:szCs w:val="20"/>
              </w:rPr>
              <w:t>Prior Period Adjustment</w:t>
            </w:r>
          </w:p>
        </w:tc>
        <w:tc>
          <w:tcPr>
            <w:tcW w:w="1890" w:type="dxa"/>
            <w:tcBorders>
              <w:top w:val="single" w:sz="4" w:space="0" w:color="auto"/>
              <w:left w:val="single" w:sz="4" w:space="0" w:color="auto"/>
              <w:bottom w:val="single" w:sz="4" w:space="0" w:color="auto"/>
              <w:right w:val="single" w:sz="4" w:space="0" w:color="auto"/>
            </w:tcBorders>
            <w:vAlign w:val="bottom"/>
          </w:tcPr>
          <w:p w14:paraId="4F3360DE" w14:textId="77777777" w:rsidR="007B09CE" w:rsidRPr="00BE70A1" w:rsidRDefault="007B09CE">
            <w:pPr>
              <w:spacing w:line="240" w:lineRule="auto"/>
              <w:ind w:firstLine="0"/>
              <w:jc w:val="center"/>
              <w:rPr>
                <w:rFonts w:eastAsia="Verdana"/>
                <w:b/>
                <w:kern w:val="0"/>
                <w:sz w:val="20"/>
                <w:szCs w:val="20"/>
              </w:rPr>
            </w:pPr>
            <w:r w:rsidRPr="00BE70A1">
              <w:rPr>
                <w:rFonts w:eastAsia="Verdana"/>
                <w:b/>
                <w:kern w:val="0"/>
                <w:sz w:val="20"/>
                <w:szCs w:val="20"/>
              </w:rPr>
              <w:t>YTD Balance</w:t>
            </w:r>
          </w:p>
        </w:tc>
      </w:tr>
      <w:tr w:rsidR="007B09CE" w:rsidRPr="00BE70A1" w14:paraId="001550B6"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13A14F85"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2E7465F4"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42780F4E"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2070" w:type="dxa"/>
            <w:tcBorders>
              <w:top w:val="single" w:sz="4" w:space="0" w:color="auto"/>
              <w:left w:val="single" w:sz="4" w:space="0" w:color="auto"/>
              <w:bottom w:val="single" w:sz="4" w:space="0" w:color="auto"/>
              <w:right w:val="single" w:sz="4" w:space="0" w:color="auto"/>
            </w:tcBorders>
            <w:vAlign w:val="center"/>
          </w:tcPr>
          <w:p w14:paraId="12EFF460"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1A7EB82E"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0A6C841F"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r>
      <w:tr w:rsidR="007B09CE" w:rsidRPr="00BE70A1" w14:paraId="5275B5FE"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4CC6197A"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66CC4279"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451F0BAD"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2070" w:type="dxa"/>
            <w:tcBorders>
              <w:top w:val="single" w:sz="4" w:space="0" w:color="auto"/>
              <w:left w:val="single" w:sz="4" w:space="0" w:color="auto"/>
              <w:bottom w:val="single" w:sz="4" w:space="0" w:color="auto"/>
              <w:right w:val="single" w:sz="4" w:space="0" w:color="auto"/>
            </w:tcBorders>
            <w:vAlign w:val="center"/>
          </w:tcPr>
          <w:p w14:paraId="530FBF04"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1E1FEE1F"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49FEE3CB"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$716,666,666.00</w:t>
            </w:r>
          </w:p>
        </w:tc>
      </w:tr>
      <w:tr w:rsidR="007B09CE" w:rsidRPr="00BE70A1" w14:paraId="766D3E37"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08D3A38C"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3A35F645"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433588B0"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$716,666,666.00</w:t>
            </w:r>
          </w:p>
        </w:tc>
        <w:tc>
          <w:tcPr>
            <w:tcW w:w="2070" w:type="dxa"/>
            <w:tcBorders>
              <w:top w:val="single" w:sz="4" w:space="0" w:color="auto"/>
              <w:left w:val="single" w:sz="4" w:space="0" w:color="auto"/>
              <w:bottom w:val="single" w:sz="4" w:space="0" w:color="auto"/>
              <w:right w:val="single" w:sz="4" w:space="0" w:color="auto"/>
            </w:tcBorders>
            <w:vAlign w:val="center"/>
          </w:tcPr>
          <w:p w14:paraId="77C996AF"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0BA6B41C"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15584574"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$1,074,999,999.00</w:t>
            </w:r>
          </w:p>
        </w:tc>
      </w:tr>
      <w:tr w:rsidR="007B09CE" w:rsidRPr="00BE70A1" w14:paraId="017F240E"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57F8C455"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7D90D08F"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379DFC6E"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$1,074,999,999.00</w:t>
            </w:r>
          </w:p>
        </w:tc>
        <w:tc>
          <w:tcPr>
            <w:tcW w:w="2070" w:type="dxa"/>
            <w:tcBorders>
              <w:top w:val="single" w:sz="4" w:space="0" w:color="auto"/>
              <w:left w:val="single" w:sz="4" w:space="0" w:color="auto"/>
              <w:bottom w:val="single" w:sz="4" w:space="0" w:color="auto"/>
              <w:right w:val="single" w:sz="4" w:space="0" w:color="auto"/>
            </w:tcBorders>
            <w:vAlign w:val="center"/>
          </w:tcPr>
          <w:p w14:paraId="42E9D2D0"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1F496103"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5D1B75B2"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$1,433,333,332.00</w:t>
            </w:r>
          </w:p>
        </w:tc>
      </w:tr>
      <w:tr w:rsidR="007B09CE" w:rsidRPr="00BE70A1" w14:paraId="194E6ADC"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0596E044"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08264682"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3F6B91DF"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$1,433,333,332.00</w:t>
            </w:r>
          </w:p>
        </w:tc>
        <w:tc>
          <w:tcPr>
            <w:tcW w:w="2070" w:type="dxa"/>
            <w:tcBorders>
              <w:top w:val="single" w:sz="4" w:space="0" w:color="auto"/>
              <w:left w:val="single" w:sz="4" w:space="0" w:color="auto"/>
              <w:bottom w:val="single" w:sz="4" w:space="0" w:color="auto"/>
              <w:right w:val="single" w:sz="4" w:space="0" w:color="auto"/>
            </w:tcBorders>
            <w:vAlign w:val="center"/>
          </w:tcPr>
          <w:p w14:paraId="1CC7EBC4"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3CAC7C65"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402CFF64"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$1,791,666,665.00</w:t>
            </w:r>
          </w:p>
        </w:tc>
      </w:tr>
      <w:tr w:rsidR="007B09CE" w:rsidRPr="00BE70A1" w14:paraId="29D40D5C"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706630FE"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1B726D85"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0FE05ADD"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$1,791,666,665.00</w:t>
            </w:r>
          </w:p>
        </w:tc>
        <w:tc>
          <w:tcPr>
            <w:tcW w:w="2070" w:type="dxa"/>
            <w:tcBorders>
              <w:top w:val="single" w:sz="4" w:space="0" w:color="auto"/>
              <w:left w:val="single" w:sz="4" w:space="0" w:color="auto"/>
              <w:bottom w:val="single" w:sz="4" w:space="0" w:color="auto"/>
              <w:right w:val="single" w:sz="4" w:space="0" w:color="auto"/>
            </w:tcBorders>
            <w:vAlign w:val="center"/>
          </w:tcPr>
          <w:p w14:paraId="2D0A9811"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$358,333,333.00</w:t>
            </w:r>
          </w:p>
        </w:tc>
        <w:tc>
          <w:tcPr>
            <w:tcW w:w="1350" w:type="dxa"/>
            <w:tcBorders>
              <w:top w:val="single" w:sz="4" w:space="0" w:color="auto"/>
              <w:left w:val="single" w:sz="4" w:space="0" w:color="auto"/>
              <w:bottom w:val="single" w:sz="4" w:space="0" w:color="auto"/>
              <w:right w:val="single" w:sz="4" w:space="0" w:color="auto"/>
            </w:tcBorders>
            <w:vAlign w:val="center"/>
          </w:tcPr>
          <w:p w14:paraId="0A789E78"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50641059"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$2,149,999,998.00</w:t>
            </w:r>
          </w:p>
        </w:tc>
      </w:tr>
      <w:tr w:rsidR="007B09CE" w:rsidRPr="00BE70A1" w14:paraId="7128A77B" w14:textId="77777777">
        <w:trPr>
          <w:trHeight w:val="510"/>
        </w:trPr>
        <w:tc>
          <w:tcPr>
            <w:tcW w:w="1170" w:type="dxa"/>
            <w:tcBorders>
              <w:top w:val="single" w:sz="4" w:space="0" w:color="auto"/>
              <w:left w:val="single" w:sz="4" w:space="0" w:color="auto"/>
              <w:bottom w:val="single" w:sz="4" w:space="0" w:color="auto"/>
              <w:right w:val="single" w:sz="4" w:space="0" w:color="auto"/>
            </w:tcBorders>
          </w:tcPr>
          <w:p w14:paraId="471152E5"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51204.000</w:t>
            </w:r>
          </w:p>
        </w:tc>
        <w:tc>
          <w:tcPr>
            <w:tcW w:w="1980" w:type="dxa"/>
            <w:tcBorders>
              <w:top w:val="single" w:sz="4" w:space="0" w:color="auto"/>
              <w:left w:val="single" w:sz="4" w:space="0" w:color="auto"/>
              <w:bottom w:val="single" w:sz="4" w:space="0" w:color="auto"/>
              <w:right w:val="single" w:sz="4" w:space="0" w:color="auto"/>
            </w:tcBorders>
          </w:tcPr>
          <w:p w14:paraId="7EA5F82D" w14:textId="77777777" w:rsidR="007B09CE" w:rsidRPr="00BE70A1" w:rsidRDefault="007B09CE">
            <w:pPr>
              <w:spacing w:line="240" w:lineRule="auto"/>
              <w:ind w:firstLine="0"/>
              <w:jc w:val="center"/>
              <w:rPr>
                <w:rFonts w:eastAsia="Calibri"/>
                <w:kern w:val="0"/>
                <w:szCs w:val="22"/>
              </w:rPr>
            </w:pPr>
            <w:r w:rsidRPr="00BE70A1">
              <w:rPr>
                <w:rFonts w:eastAsia="Verdana"/>
                <w:color w:val="000000"/>
                <w:kern w:val="0"/>
                <w:sz w:val="20"/>
                <w:szCs w:val="20"/>
              </w:rPr>
              <w:t>RETIREE HEALTH BENEFIT - NORMAL COST</w:t>
            </w:r>
          </w:p>
        </w:tc>
        <w:tc>
          <w:tcPr>
            <w:tcW w:w="1890" w:type="dxa"/>
            <w:tcBorders>
              <w:top w:val="single" w:sz="4" w:space="0" w:color="auto"/>
              <w:left w:val="single" w:sz="4" w:space="0" w:color="auto"/>
              <w:bottom w:val="single" w:sz="4" w:space="0" w:color="auto"/>
              <w:right w:val="single" w:sz="4" w:space="0" w:color="auto"/>
            </w:tcBorders>
            <w:vAlign w:val="center"/>
          </w:tcPr>
          <w:p w14:paraId="402EC026"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$2,149,999,998.00</w:t>
            </w:r>
          </w:p>
        </w:tc>
        <w:tc>
          <w:tcPr>
            <w:tcW w:w="2070" w:type="dxa"/>
            <w:tcBorders>
              <w:top w:val="single" w:sz="4" w:space="0" w:color="auto"/>
              <w:left w:val="single" w:sz="4" w:space="0" w:color="auto"/>
              <w:bottom w:val="single" w:sz="4" w:space="0" w:color="auto"/>
              <w:right w:val="single" w:sz="4" w:space="0" w:color="auto"/>
            </w:tcBorders>
            <w:vAlign w:val="center"/>
          </w:tcPr>
          <w:p w14:paraId="5C8E3790"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($2,149,999,998.00)</w:t>
            </w:r>
          </w:p>
        </w:tc>
        <w:tc>
          <w:tcPr>
            <w:tcW w:w="1350" w:type="dxa"/>
            <w:tcBorders>
              <w:top w:val="single" w:sz="4" w:space="0" w:color="auto"/>
              <w:left w:val="single" w:sz="4" w:space="0" w:color="auto"/>
              <w:bottom w:val="single" w:sz="4" w:space="0" w:color="auto"/>
              <w:right w:val="single" w:sz="4" w:space="0" w:color="auto"/>
            </w:tcBorders>
            <w:vAlign w:val="center"/>
          </w:tcPr>
          <w:p w14:paraId="56F66D46"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46CAE7BA" w14:textId="77777777" w:rsidR="007B09CE" w:rsidRPr="00BE70A1" w:rsidRDefault="007B09CE">
            <w:pPr>
              <w:spacing w:line="240" w:lineRule="auto"/>
              <w:ind w:firstLine="0"/>
              <w:jc w:val="center"/>
              <w:rPr>
                <w:rFonts w:eastAsia="Verdana"/>
                <w:color w:val="000000"/>
                <w:kern w:val="0"/>
                <w:sz w:val="20"/>
                <w:szCs w:val="20"/>
              </w:rPr>
            </w:pPr>
            <w:r w:rsidRPr="00BE70A1">
              <w:rPr>
                <w:rFonts w:eastAsia="Verdana"/>
                <w:color w:val="000000"/>
                <w:kern w:val="0"/>
                <w:sz w:val="20"/>
                <w:szCs w:val="20"/>
              </w:rPr>
              <w:t>$0.00</w:t>
            </w:r>
          </w:p>
        </w:tc>
      </w:tr>
    </w:tbl>
    <w:p w14:paraId="3FADFC84" w14:textId="67B2E921" w:rsidR="007B09CE" w:rsidRDefault="007B09CE" w:rsidP="007B09CE">
      <w:pPr>
        <w:spacing w:before="120" w:after="120" w:line="240" w:lineRule="auto"/>
        <w:ind w:firstLine="0"/>
        <w:rPr>
          <w:rFonts w:eastAsia="Calibri" w:cs="Times New Roman"/>
          <w:kern w:val="0"/>
          <w:sz w:val="20"/>
          <w:szCs w:val="20"/>
        </w:rPr>
      </w:pPr>
      <w:r w:rsidRPr="00BE70A1">
        <w:rPr>
          <w:rFonts w:eastAsia="Calibri" w:cs="Times New Roman"/>
          <w:bCs w:val="0"/>
          <w:kern w:val="0"/>
          <w:sz w:val="20"/>
          <w:szCs w:val="20"/>
        </w:rPr>
        <w:t xml:space="preserve">Source: Postal Service National Trial Balance October 2021, Excel file "NTB_Public_Oct2021_FY22.xlsx,” tab "1 National Trial Balance," cells A through F1450, November 19, 2021; Postal Service National Trial Balance November 2021, Excel file "National Trial </w:t>
      </w:r>
      <w:proofErr w:type="spellStart"/>
      <w:r w:rsidRPr="00BE70A1">
        <w:rPr>
          <w:rFonts w:eastAsia="Calibri" w:cs="Times New Roman"/>
          <w:bCs w:val="0"/>
          <w:kern w:val="0"/>
          <w:sz w:val="20"/>
          <w:szCs w:val="20"/>
        </w:rPr>
        <w:t>Balance_Redacted_November</w:t>
      </w:r>
      <w:proofErr w:type="spellEnd"/>
      <w:r w:rsidRPr="00BE70A1">
        <w:rPr>
          <w:rFonts w:eastAsia="Calibri" w:cs="Times New Roman"/>
          <w:bCs w:val="0"/>
          <w:kern w:val="0"/>
          <w:sz w:val="20"/>
          <w:szCs w:val="20"/>
        </w:rPr>
        <w:t xml:space="preserve"> 2021.xlsx,” tab "1 National Trial Balance," cells A through F1464, December 17, 2021; Postal Service National Trial Balance December 2021, Excel file "National Trial Balance-Redacted, December, 2022 (FY 2022).xlsx,” tab "1 National Trial Balance," cells A through F1485, February 1, 2022; Postal Service National Trial Balance January 2022, Excel file "National Trial Balance-January2022_Redacted.xlsx,” tab "1 National Trial Balance," cells A through F1503, February 28, 2022; Postal Service National Trial Balance February 2022, Excel file "National Trial Balance-Redacted_February2022_FY2022.xlsx,” tab "1 National Trial Balance," cells A through F1510, March 21, 2022; Postal Service National Trial Balance March 2022, Excel file "National Trial Balance-Redacted_March-FY22.xlsx,” tab "1 National Trial Balance," cells A through F1515, May 5, 2022; Postal Service National Trial Balance April 2022, Excel file "National Trial </w:t>
      </w:r>
      <w:proofErr w:type="spellStart"/>
      <w:r w:rsidRPr="00BE70A1">
        <w:rPr>
          <w:rFonts w:eastAsia="Calibri" w:cs="Times New Roman"/>
          <w:bCs w:val="0"/>
          <w:kern w:val="0"/>
          <w:sz w:val="20"/>
          <w:szCs w:val="20"/>
        </w:rPr>
        <w:t>Balance_Redacted_April</w:t>
      </w:r>
      <w:proofErr w:type="spellEnd"/>
      <w:r w:rsidRPr="00BE70A1">
        <w:rPr>
          <w:rFonts w:eastAsia="Calibri" w:cs="Times New Roman"/>
          <w:bCs w:val="0"/>
          <w:kern w:val="0"/>
          <w:sz w:val="20"/>
          <w:szCs w:val="20"/>
        </w:rPr>
        <w:t xml:space="preserve"> 2022_FY 2022.xlsx,” tab "1 National Trial Balance," cells A through F1516, May 24, 2022.</w:t>
      </w:r>
    </w:p>
    <w:p w14:paraId="10BD1DE9" w14:textId="77777777" w:rsidR="007B09CE" w:rsidRDefault="007B09CE" w:rsidP="007B09CE">
      <w:pPr>
        <w:spacing w:after="200" w:line="276" w:lineRule="auto"/>
        <w:ind w:firstLine="0"/>
        <w:rPr>
          <w:rFonts w:eastAsia="Calibri" w:cs="Times New Roman"/>
          <w:bCs w:val="0"/>
          <w:kern w:val="0"/>
          <w:sz w:val="20"/>
          <w:szCs w:val="20"/>
        </w:rPr>
      </w:pPr>
      <w:r>
        <w:rPr>
          <w:rFonts w:eastAsia="Calibri" w:cs="Times New Roman"/>
          <w:bCs w:val="0"/>
          <w:kern w:val="0"/>
          <w:sz w:val="20"/>
          <w:szCs w:val="20"/>
        </w:rPr>
        <w:br w:type="page"/>
      </w:r>
    </w:p>
    <w:p w14:paraId="414598F1" w14:textId="41990E40" w:rsidR="004939C7" w:rsidRDefault="007B09CE" w:rsidP="007B09CE">
      <w:pPr>
        <w:rPr>
          <w:rFonts w:eastAsia="Calibri"/>
        </w:rPr>
      </w:pPr>
      <w:r w:rsidRPr="00BE70A1">
        <w:rPr>
          <w:rFonts w:eastAsia="Calibri"/>
        </w:rPr>
        <w:lastRenderedPageBreak/>
        <w:t xml:space="preserve">The </w:t>
      </w:r>
      <w:r w:rsidR="002226CE">
        <w:rPr>
          <w:rFonts w:eastAsia="Calibri"/>
        </w:rPr>
        <w:t xml:space="preserve">accepted </w:t>
      </w:r>
      <w:r w:rsidRPr="00BE70A1">
        <w:rPr>
          <w:rFonts w:eastAsia="Calibri"/>
        </w:rPr>
        <w:t>analytical principle require</w:t>
      </w:r>
      <w:r>
        <w:rPr>
          <w:rFonts w:eastAsia="Calibri"/>
        </w:rPr>
        <w:t>s</w:t>
      </w:r>
      <w:r w:rsidRPr="00BE70A1">
        <w:rPr>
          <w:rFonts w:eastAsia="Calibri"/>
        </w:rPr>
        <w:t xml:space="preserve"> that total accounting costs serve as the ceiling for</w:t>
      </w:r>
      <w:r w:rsidR="002C0941">
        <w:rPr>
          <w:rFonts w:eastAsia="Calibri"/>
        </w:rPr>
        <w:t xml:space="preserve"> attributed</w:t>
      </w:r>
      <w:r w:rsidRPr="00BE70A1">
        <w:rPr>
          <w:rFonts w:eastAsia="Calibri"/>
        </w:rPr>
        <w:t xml:space="preserve"> economic costs.  </w:t>
      </w:r>
      <w:r w:rsidR="00C67239">
        <w:rPr>
          <w:rFonts w:eastAsia="Calibri"/>
        </w:rPr>
        <w:t>As shown in Table I, i</w:t>
      </w:r>
      <w:r w:rsidRPr="00BE70A1">
        <w:rPr>
          <w:rFonts w:eastAsia="Calibri"/>
        </w:rPr>
        <w:t>n FY 2022, the total accounting costs were accrued in accordance with the provisions of the PAEA and then retroactively reversed according to the provisions of the PSRA.</w:t>
      </w:r>
      <w:r w:rsidR="008B27F3">
        <w:rPr>
          <w:rStyle w:val="FootnoteReference"/>
          <w:rFonts w:eastAsia="Calibri"/>
        </w:rPr>
        <w:footnoteReference w:id="22"/>
      </w:r>
      <w:r w:rsidRPr="00BE70A1">
        <w:rPr>
          <w:rFonts w:eastAsia="Calibri"/>
        </w:rPr>
        <w:t xml:space="preserve">  Due to the PSRA, there are no retiree health benefit costs </w:t>
      </w:r>
      <w:r w:rsidR="00414DEA">
        <w:rPr>
          <w:rFonts w:eastAsia="Calibri"/>
        </w:rPr>
        <w:t>incurred by the Postal Service</w:t>
      </w:r>
      <w:r w:rsidRPr="00BE70A1">
        <w:rPr>
          <w:rFonts w:eastAsia="Calibri"/>
        </w:rPr>
        <w:t xml:space="preserve"> in FY 2022, and thus the accounting costs in FY 2022 are zero.</w:t>
      </w:r>
      <w:r w:rsidR="009511CC">
        <w:rPr>
          <w:rStyle w:val="FootnoteReference"/>
          <w:rFonts w:eastAsia="Calibri"/>
        </w:rPr>
        <w:footnoteReference w:id="23"/>
      </w:r>
      <w:r w:rsidR="00915A17">
        <w:rPr>
          <w:rFonts w:eastAsia="Calibri"/>
        </w:rPr>
        <w:t xml:space="preserve">  With no accounting costs in FY 2022</w:t>
      </w:r>
      <w:r w:rsidR="00F241D5">
        <w:rPr>
          <w:rFonts w:eastAsia="Calibri"/>
        </w:rPr>
        <w:t xml:space="preserve"> and that serving as a ceiling for the amount of economic costs that can be attributed,</w:t>
      </w:r>
      <w:r w:rsidR="002503E7">
        <w:rPr>
          <w:rFonts w:eastAsia="Calibri"/>
        </w:rPr>
        <w:t xml:space="preserve"> the amount of economic costs</w:t>
      </w:r>
      <w:r w:rsidR="00EF7E78">
        <w:rPr>
          <w:rFonts w:eastAsia="Calibri"/>
        </w:rPr>
        <w:t xml:space="preserve"> (</w:t>
      </w:r>
      <w:r w:rsidR="00375AA2">
        <w:rPr>
          <w:rFonts w:eastAsia="Calibri"/>
          <w:i/>
          <w:iCs/>
        </w:rPr>
        <w:t>i</w:t>
      </w:r>
      <w:r w:rsidR="00EF7E78">
        <w:rPr>
          <w:rFonts w:eastAsia="Calibri"/>
          <w:i/>
          <w:iCs/>
        </w:rPr>
        <w:t xml:space="preserve">.e., </w:t>
      </w:r>
      <w:r w:rsidR="00EF7E78">
        <w:rPr>
          <w:rFonts w:eastAsia="Calibri"/>
        </w:rPr>
        <w:t>retiree health benefit normal costs)</w:t>
      </w:r>
      <w:r w:rsidR="002503E7">
        <w:rPr>
          <w:rFonts w:eastAsia="Calibri"/>
        </w:rPr>
        <w:t xml:space="preserve"> that can be attributed in FY 2022 is also zero.</w:t>
      </w:r>
    </w:p>
    <w:p w14:paraId="423131D6" w14:textId="35B401F8" w:rsidR="007B09CE" w:rsidRPr="00BE70A1" w:rsidRDefault="007B09CE" w:rsidP="007B09CE">
      <w:pPr>
        <w:rPr>
          <w:rFonts w:eastAsia="Calibri"/>
        </w:rPr>
      </w:pPr>
      <w:r w:rsidRPr="00BE70A1">
        <w:rPr>
          <w:rFonts w:eastAsia="Calibri"/>
        </w:rPr>
        <w:t>This is not to say that the economic costs of retiree health benefits do not exist in FY 2022</w:t>
      </w:r>
      <w:r w:rsidR="007027A8">
        <w:rPr>
          <w:rFonts w:eastAsia="Calibri"/>
        </w:rPr>
        <w:t xml:space="preserve">.  As discussed above, </w:t>
      </w:r>
      <w:r w:rsidR="000718D0">
        <w:rPr>
          <w:rFonts w:eastAsia="Calibri"/>
        </w:rPr>
        <w:t xml:space="preserve">economic costs </w:t>
      </w:r>
      <w:r w:rsidR="000718D0">
        <w:t xml:space="preserve">include costs for benefits as benefits </w:t>
      </w:r>
      <w:r w:rsidR="000718D0">
        <w:lastRenderedPageBreak/>
        <w:t>are earned</w:t>
      </w:r>
      <w:r w:rsidRPr="00BE70A1">
        <w:rPr>
          <w:rFonts w:eastAsia="Calibri"/>
        </w:rPr>
        <w:t>,</w:t>
      </w:r>
      <w:r w:rsidR="0032123E">
        <w:rPr>
          <w:rFonts w:eastAsia="Calibri"/>
        </w:rPr>
        <w:t xml:space="preserve"> and retiree health benefit normal costs were earned</w:t>
      </w:r>
      <w:r w:rsidR="002504B8">
        <w:rPr>
          <w:rFonts w:eastAsia="Calibri"/>
        </w:rPr>
        <w:t xml:space="preserve"> by employees</w:t>
      </w:r>
      <w:r w:rsidR="0032123E">
        <w:rPr>
          <w:rFonts w:eastAsia="Calibri"/>
        </w:rPr>
        <w:t xml:space="preserve"> in FY</w:t>
      </w:r>
      <w:r w:rsidR="00526A17">
        <w:rPr>
          <w:rFonts w:eastAsia="Calibri"/>
        </w:rPr>
        <w:t> </w:t>
      </w:r>
      <w:r w:rsidR="0032123E">
        <w:rPr>
          <w:rFonts w:eastAsia="Calibri"/>
        </w:rPr>
        <w:t>2022.</w:t>
      </w:r>
      <w:r w:rsidR="00EA3FC5">
        <w:rPr>
          <w:rFonts w:eastAsia="Calibri"/>
        </w:rPr>
        <w:t xml:space="preserve">  </w:t>
      </w:r>
      <w:r w:rsidR="00BD3723">
        <w:rPr>
          <w:rFonts w:eastAsia="Calibri"/>
        </w:rPr>
        <w:t xml:space="preserve">However, as also discussed above, </w:t>
      </w:r>
      <w:r w:rsidR="000B5701">
        <w:rPr>
          <w:rFonts w:eastAsia="Calibri"/>
        </w:rPr>
        <w:t xml:space="preserve">it </w:t>
      </w:r>
      <w:r w:rsidR="000B5701">
        <w:t xml:space="preserve">is the Postal Service’s accounting systems that </w:t>
      </w:r>
      <w:r w:rsidR="00F94CC4">
        <w:t>record</w:t>
      </w:r>
      <w:r w:rsidR="000B5701">
        <w:t xml:space="preserve"> the costs that the Postal Service</w:t>
      </w:r>
      <w:r w:rsidR="00261821">
        <w:t xml:space="preserve"> </w:t>
      </w:r>
      <w:r w:rsidR="00AC73EC">
        <w:t>accrue</w:t>
      </w:r>
      <w:r w:rsidR="00261821">
        <w:t>s</w:t>
      </w:r>
      <w:r w:rsidR="000B5701">
        <w:t xml:space="preserve"> each fiscal year</w:t>
      </w:r>
      <w:r w:rsidR="002262F8">
        <w:t>,</w:t>
      </w:r>
      <w:r w:rsidRPr="00BE70A1">
        <w:rPr>
          <w:rFonts w:eastAsia="Calibri"/>
        </w:rPr>
        <w:t xml:space="preserve"> </w:t>
      </w:r>
      <w:r w:rsidR="00AF447A">
        <w:rPr>
          <w:rFonts w:eastAsia="Calibri"/>
        </w:rPr>
        <w:t xml:space="preserve">and </w:t>
      </w:r>
      <w:r w:rsidR="002A78D9">
        <w:t>because attributable costs are a subset of total postal costs, they cannot exceed the corresponding total accounting costs</w:t>
      </w:r>
      <w:r w:rsidR="00522BBC">
        <w:t xml:space="preserve"> as </w:t>
      </w:r>
      <w:r w:rsidR="00921D2E">
        <w:t>recorded</w:t>
      </w:r>
      <w:r w:rsidR="00522BBC">
        <w:t xml:space="preserve"> by the Postal Service’s accounting systems</w:t>
      </w:r>
      <w:r w:rsidR="00AF447A">
        <w:t>.</w:t>
      </w:r>
      <w:r w:rsidR="002262F8">
        <w:t xml:space="preserve">  </w:t>
      </w:r>
      <w:r w:rsidR="00E750E0">
        <w:t>Given that</w:t>
      </w:r>
      <w:r w:rsidR="002262F8">
        <w:t xml:space="preserve"> accounting costs set the limit on the economic costs that can be attributed and no retiree health benefit </w:t>
      </w:r>
      <w:r w:rsidR="00AF3DCA">
        <w:t xml:space="preserve">accounting costs </w:t>
      </w:r>
      <w:r w:rsidR="00A65365">
        <w:t>accrue</w:t>
      </w:r>
      <w:r w:rsidR="00A300F2">
        <w:t>d</w:t>
      </w:r>
      <w:r w:rsidR="00AF3DCA">
        <w:t xml:space="preserve"> in FY 2022,</w:t>
      </w:r>
      <w:r w:rsidR="001565B7">
        <w:rPr>
          <w:rFonts w:eastAsia="Calibri"/>
        </w:rPr>
        <w:t xml:space="preserve"> </w:t>
      </w:r>
      <w:r w:rsidRPr="00BE70A1">
        <w:rPr>
          <w:rFonts w:eastAsia="Calibri"/>
        </w:rPr>
        <w:t>Order No.</w:t>
      </w:r>
      <w:r w:rsidR="00526A17">
        <w:rPr>
          <w:rFonts w:eastAsia="Calibri"/>
        </w:rPr>
        <w:t> </w:t>
      </w:r>
      <w:r w:rsidRPr="00BE70A1">
        <w:rPr>
          <w:rFonts w:eastAsia="Calibri"/>
        </w:rPr>
        <w:t>6363 correctly stated that “under the accepted methodology, there are no . . . normal costs to account for in the Postal Service’s financial reporting for FY 2022” and that “[i]</w:t>
      </w:r>
      <w:proofErr w:type="spellStart"/>
      <w:r w:rsidRPr="00BE70A1">
        <w:rPr>
          <w:rFonts w:eastAsia="Calibri"/>
        </w:rPr>
        <w:t>ncluding</w:t>
      </w:r>
      <w:proofErr w:type="spellEnd"/>
      <w:r w:rsidRPr="00BE70A1">
        <w:rPr>
          <w:rFonts w:eastAsia="Calibri"/>
        </w:rPr>
        <w:t xml:space="preserve"> such costs not incurred by the Postal Service would require a change in accepted methodology.”  Order No. 6363 at 10.</w:t>
      </w:r>
    </w:p>
    <w:p w14:paraId="3B1191B0" w14:textId="21A3DA7A" w:rsidR="00560E25" w:rsidRDefault="00751B55" w:rsidP="00310125">
      <w:r>
        <w:t xml:space="preserve">Table </w:t>
      </w:r>
      <w:r w:rsidR="009C4BC0">
        <w:t>I</w:t>
      </w:r>
      <w:r>
        <w:t>I is an excerpt from the CSC</w:t>
      </w:r>
      <w:r w:rsidR="00E20A9B">
        <w:t>s</w:t>
      </w:r>
      <w:r>
        <w:t xml:space="preserve"> annually filed by the Postal Service as part of its ACR.  It </w:t>
      </w:r>
      <w:r w:rsidR="002C6B4A">
        <w:t xml:space="preserve">presents </w:t>
      </w:r>
      <w:r>
        <w:t xml:space="preserve">Component 208 “Retiree Health Benefits” appearing in Cost Segment 18 in the CSCs for FY 2008 through FY 2021.  The “Total Cost” column reflects the total accounting costs for each fiscal year.  The first and second columns reflect the total volume variable and product specific </w:t>
      </w:r>
      <w:r w:rsidR="00D131F5">
        <w:t>(</w:t>
      </w:r>
      <w:r w:rsidR="00D131F5">
        <w:rPr>
          <w:i/>
          <w:iCs/>
        </w:rPr>
        <w:t>i.e.,</w:t>
      </w:r>
      <w:r w:rsidR="00D131F5">
        <w:t xml:space="preserve"> attributed economic)</w:t>
      </w:r>
      <w:r>
        <w:t xml:space="preserve"> costs</w:t>
      </w:r>
      <w:r w:rsidR="004614B3">
        <w:t>,</w:t>
      </w:r>
      <w:r>
        <w:t xml:space="preserve"> and total “Other” costs, respectively.</w:t>
      </w:r>
      <w:r w:rsidR="005B5265">
        <w:t xml:space="preserve">  The table reflects that </w:t>
      </w:r>
      <w:r w:rsidR="00413D3A">
        <w:t xml:space="preserve">in each fiscal year the total </w:t>
      </w:r>
      <w:r w:rsidR="00C82751">
        <w:t>postal</w:t>
      </w:r>
      <w:r w:rsidR="00413D3A">
        <w:t xml:space="preserve"> costs accounted for (</w:t>
      </w:r>
      <w:r w:rsidR="002567F0">
        <w:rPr>
          <w:i/>
          <w:iCs/>
        </w:rPr>
        <w:t xml:space="preserve">i.e., </w:t>
      </w:r>
      <w:r w:rsidR="002567F0">
        <w:t>the sum</w:t>
      </w:r>
      <w:r w:rsidR="004D6176">
        <w:t xml:space="preserve"> of</w:t>
      </w:r>
      <w:r w:rsidR="002567F0">
        <w:t xml:space="preserve"> attributed economic costs </w:t>
      </w:r>
      <w:r w:rsidR="004D6176">
        <w:t xml:space="preserve">and </w:t>
      </w:r>
      <w:r w:rsidR="006C2C68">
        <w:t>“</w:t>
      </w:r>
      <w:r w:rsidR="00984917">
        <w:t>Other</w:t>
      </w:r>
      <w:r w:rsidR="006C2C68">
        <w:t>”</w:t>
      </w:r>
      <w:r w:rsidR="00984917">
        <w:t xml:space="preserve"> </w:t>
      </w:r>
      <w:r w:rsidR="004D6176">
        <w:t>costs</w:t>
      </w:r>
      <w:r w:rsidR="00EB4B49">
        <w:t>) equals total accounting costs.</w:t>
      </w:r>
    </w:p>
    <w:p w14:paraId="260146D3" w14:textId="77777777" w:rsidR="00560E25" w:rsidRDefault="00560E25">
      <w:pPr>
        <w:spacing w:after="200" w:line="276" w:lineRule="auto"/>
        <w:ind w:firstLine="0"/>
      </w:pPr>
      <w:r>
        <w:br w:type="page"/>
      </w:r>
    </w:p>
    <w:p w14:paraId="030004F1" w14:textId="76CA7516" w:rsidR="003A4EF0" w:rsidRDefault="00070AA1" w:rsidP="00CB06D6">
      <w:pPr>
        <w:spacing w:line="240" w:lineRule="auto"/>
        <w:ind w:firstLine="0"/>
        <w:jc w:val="center"/>
        <w:rPr>
          <w:rFonts w:eastAsia="Calibri" w:cs="Times New Roman"/>
          <w:b/>
          <w:kern w:val="0"/>
          <w:szCs w:val="22"/>
        </w:rPr>
      </w:pPr>
      <w:r w:rsidRPr="00070AA1">
        <w:rPr>
          <w:rFonts w:eastAsia="Calibri" w:cs="Times New Roman"/>
          <w:b/>
          <w:kern w:val="0"/>
          <w:szCs w:val="22"/>
        </w:rPr>
        <w:lastRenderedPageBreak/>
        <w:t>Table I</w:t>
      </w:r>
      <w:r w:rsidR="009C4BC0">
        <w:rPr>
          <w:rFonts w:eastAsia="Calibri" w:cs="Times New Roman"/>
          <w:b/>
          <w:kern w:val="0"/>
          <w:szCs w:val="22"/>
        </w:rPr>
        <w:t>I</w:t>
      </w:r>
    </w:p>
    <w:p w14:paraId="468E47C2" w14:textId="77777777" w:rsidR="00F233C5" w:rsidRDefault="003A4EF0" w:rsidP="00CB06D6">
      <w:pPr>
        <w:spacing w:line="240" w:lineRule="auto"/>
        <w:ind w:firstLine="0"/>
        <w:jc w:val="center"/>
        <w:rPr>
          <w:rFonts w:eastAsia="Calibri" w:cs="Times New Roman"/>
          <w:b/>
          <w:kern w:val="0"/>
          <w:szCs w:val="22"/>
        </w:rPr>
      </w:pPr>
      <w:r>
        <w:rPr>
          <w:rFonts w:eastAsia="Calibri" w:cs="Times New Roman"/>
          <w:b/>
          <w:kern w:val="0"/>
          <w:szCs w:val="22"/>
        </w:rPr>
        <w:t>Cost Segment and Component Report</w:t>
      </w:r>
    </w:p>
    <w:p w14:paraId="57570A0C" w14:textId="30D06A64" w:rsidR="00070AA1" w:rsidRPr="00070AA1" w:rsidRDefault="003A4EF0" w:rsidP="00CB06D6">
      <w:pPr>
        <w:spacing w:line="240" w:lineRule="auto"/>
        <w:ind w:firstLine="0"/>
        <w:jc w:val="center"/>
        <w:rPr>
          <w:rFonts w:eastAsia="Calibri" w:cs="Times New Roman"/>
          <w:b/>
          <w:kern w:val="0"/>
          <w:szCs w:val="22"/>
        </w:rPr>
      </w:pPr>
      <w:r>
        <w:rPr>
          <w:rFonts w:eastAsia="Calibri" w:cs="Times New Roman"/>
          <w:b/>
          <w:kern w:val="0"/>
          <w:szCs w:val="22"/>
        </w:rPr>
        <w:t>Cost Segment 18 Component Number 208</w:t>
      </w:r>
    </w:p>
    <w:tbl>
      <w:tblPr>
        <w:tblW w:w="9340" w:type="dxa"/>
        <w:jc w:val="center"/>
        <w:tblLook w:val="04A0" w:firstRow="1" w:lastRow="0" w:firstColumn="1" w:lastColumn="0" w:noHBand="0" w:noVBand="1"/>
      </w:tblPr>
      <w:tblGrid>
        <w:gridCol w:w="1610"/>
        <w:gridCol w:w="2460"/>
        <w:gridCol w:w="2570"/>
        <w:gridCol w:w="2700"/>
      </w:tblGrid>
      <w:tr w:rsidR="00070AA1" w:rsidRPr="00C6378A" w14:paraId="2C158750" w14:textId="77777777" w:rsidTr="001737E5">
        <w:trPr>
          <w:trHeight w:hRule="exact" w:val="587"/>
          <w:jc w:val="center"/>
        </w:trPr>
        <w:tc>
          <w:tcPr>
            <w:tcW w:w="161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E480594" w14:textId="77777777" w:rsidR="00070AA1" w:rsidRPr="00C6378A" w:rsidRDefault="00070AA1" w:rsidP="001737E5">
            <w:pPr>
              <w:spacing w:line="240" w:lineRule="auto"/>
              <w:ind w:firstLine="0"/>
              <w:jc w:val="center"/>
              <w:rPr>
                <w:b/>
                <w:color w:val="000000"/>
                <w:kern w:val="0"/>
                <w:sz w:val="18"/>
                <w:szCs w:val="18"/>
              </w:rPr>
            </w:pPr>
            <w:r w:rsidRPr="00C6378A">
              <w:rPr>
                <w:b/>
                <w:color w:val="000000"/>
                <w:kern w:val="0"/>
                <w:sz w:val="18"/>
                <w:szCs w:val="18"/>
              </w:rPr>
              <w:t>Fiscal Year</w:t>
            </w:r>
          </w:p>
        </w:tc>
        <w:tc>
          <w:tcPr>
            <w:tcW w:w="2460" w:type="dxa"/>
            <w:tcBorders>
              <w:top w:val="single" w:sz="8" w:space="0" w:color="auto"/>
              <w:left w:val="nil"/>
              <w:bottom w:val="single" w:sz="8" w:space="0" w:color="auto"/>
              <w:right w:val="single" w:sz="4" w:space="0" w:color="auto"/>
            </w:tcBorders>
            <w:shd w:val="clear" w:color="auto" w:fill="auto"/>
            <w:vAlign w:val="bottom"/>
            <w:hideMark/>
          </w:tcPr>
          <w:p w14:paraId="1C0ACFFE" w14:textId="2D906211" w:rsidR="00070AA1" w:rsidRPr="00C6378A" w:rsidRDefault="00070AA1" w:rsidP="001737E5">
            <w:pPr>
              <w:spacing w:line="240" w:lineRule="auto"/>
              <w:ind w:firstLine="0"/>
              <w:jc w:val="center"/>
              <w:rPr>
                <w:b/>
                <w:color w:val="000000"/>
                <w:kern w:val="0"/>
                <w:sz w:val="18"/>
                <w:szCs w:val="18"/>
              </w:rPr>
            </w:pPr>
            <w:r w:rsidRPr="00C6378A">
              <w:rPr>
                <w:b/>
                <w:color w:val="000000"/>
                <w:kern w:val="0"/>
                <w:sz w:val="18"/>
                <w:szCs w:val="18"/>
              </w:rPr>
              <w:t>TOT VOL VAR &amp; PROD SPEC</w:t>
            </w:r>
          </w:p>
        </w:tc>
        <w:tc>
          <w:tcPr>
            <w:tcW w:w="2570" w:type="dxa"/>
            <w:tcBorders>
              <w:top w:val="single" w:sz="8" w:space="0" w:color="auto"/>
              <w:left w:val="nil"/>
              <w:bottom w:val="single" w:sz="8" w:space="0" w:color="auto"/>
              <w:right w:val="single" w:sz="4" w:space="0" w:color="auto"/>
            </w:tcBorders>
            <w:shd w:val="clear" w:color="auto" w:fill="auto"/>
            <w:vAlign w:val="bottom"/>
            <w:hideMark/>
          </w:tcPr>
          <w:p w14:paraId="65D9F2DA" w14:textId="170EE232" w:rsidR="00070AA1" w:rsidRPr="00C6378A" w:rsidRDefault="00070AA1" w:rsidP="001737E5">
            <w:pPr>
              <w:spacing w:line="240" w:lineRule="auto"/>
              <w:ind w:firstLine="0"/>
              <w:jc w:val="center"/>
              <w:rPr>
                <w:b/>
                <w:color w:val="000000"/>
                <w:kern w:val="0"/>
                <w:sz w:val="18"/>
                <w:szCs w:val="18"/>
              </w:rPr>
            </w:pPr>
            <w:r w:rsidRPr="00C6378A">
              <w:rPr>
                <w:b/>
                <w:color w:val="000000"/>
                <w:kern w:val="0"/>
                <w:sz w:val="18"/>
                <w:szCs w:val="18"/>
              </w:rPr>
              <w:t>OTHER COSTS</w:t>
            </w:r>
          </w:p>
        </w:tc>
        <w:tc>
          <w:tcPr>
            <w:tcW w:w="2700" w:type="dxa"/>
            <w:tcBorders>
              <w:top w:val="single" w:sz="8" w:space="0" w:color="auto"/>
              <w:left w:val="nil"/>
              <w:bottom w:val="single" w:sz="8" w:space="0" w:color="auto"/>
              <w:right w:val="single" w:sz="8" w:space="0" w:color="auto"/>
            </w:tcBorders>
            <w:shd w:val="clear" w:color="auto" w:fill="auto"/>
            <w:vAlign w:val="bottom"/>
            <w:hideMark/>
          </w:tcPr>
          <w:p w14:paraId="75467C25" w14:textId="4A4CE5DB" w:rsidR="00070AA1" w:rsidRPr="00C6378A" w:rsidRDefault="00070AA1" w:rsidP="001737E5">
            <w:pPr>
              <w:spacing w:line="240" w:lineRule="auto"/>
              <w:ind w:firstLine="0"/>
              <w:jc w:val="center"/>
              <w:rPr>
                <w:b/>
                <w:color w:val="000000"/>
                <w:kern w:val="0"/>
                <w:sz w:val="18"/>
                <w:szCs w:val="18"/>
              </w:rPr>
            </w:pPr>
            <w:r w:rsidRPr="00C6378A">
              <w:rPr>
                <w:b/>
                <w:color w:val="000000"/>
                <w:kern w:val="0"/>
                <w:sz w:val="18"/>
                <w:szCs w:val="18"/>
              </w:rPr>
              <w:t xml:space="preserve">TOTAL COSTS </w:t>
            </w:r>
          </w:p>
        </w:tc>
      </w:tr>
      <w:tr w:rsidR="00070AA1" w:rsidRPr="00C6378A" w14:paraId="5F686286"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0F4C2E1"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2008</w:t>
            </w:r>
          </w:p>
        </w:tc>
        <w:tc>
          <w:tcPr>
            <w:tcW w:w="2460" w:type="dxa"/>
            <w:tcBorders>
              <w:top w:val="nil"/>
              <w:left w:val="nil"/>
              <w:bottom w:val="single" w:sz="4" w:space="0" w:color="auto"/>
              <w:right w:val="single" w:sz="4" w:space="0" w:color="auto"/>
            </w:tcBorders>
            <w:shd w:val="clear" w:color="auto" w:fill="auto"/>
            <w:noWrap/>
            <w:vAlign w:val="bottom"/>
            <w:hideMark/>
          </w:tcPr>
          <w:p w14:paraId="58E52221"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2,893,912</w:t>
            </w:r>
          </w:p>
        </w:tc>
        <w:tc>
          <w:tcPr>
            <w:tcW w:w="2570" w:type="dxa"/>
            <w:tcBorders>
              <w:top w:val="nil"/>
              <w:left w:val="nil"/>
              <w:bottom w:val="single" w:sz="4" w:space="0" w:color="auto"/>
              <w:right w:val="single" w:sz="4" w:space="0" w:color="auto"/>
            </w:tcBorders>
            <w:shd w:val="clear" w:color="auto" w:fill="auto"/>
            <w:noWrap/>
            <w:vAlign w:val="bottom"/>
            <w:hideMark/>
          </w:tcPr>
          <w:p w14:paraId="695B3782"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4,512,671</w:t>
            </w:r>
          </w:p>
        </w:tc>
        <w:tc>
          <w:tcPr>
            <w:tcW w:w="2700" w:type="dxa"/>
            <w:tcBorders>
              <w:top w:val="nil"/>
              <w:left w:val="nil"/>
              <w:bottom w:val="single" w:sz="4" w:space="0" w:color="auto"/>
              <w:right w:val="single" w:sz="4" w:space="0" w:color="auto"/>
            </w:tcBorders>
            <w:shd w:val="clear" w:color="auto" w:fill="auto"/>
            <w:noWrap/>
            <w:vAlign w:val="bottom"/>
            <w:hideMark/>
          </w:tcPr>
          <w:p w14:paraId="6B6D692A"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7,406,583</w:t>
            </w:r>
          </w:p>
        </w:tc>
      </w:tr>
      <w:tr w:rsidR="00070AA1" w:rsidRPr="00C6378A" w14:paraId="362DD4E4"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29888AB"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2009</w:t>
            </w:r>
          </w:p>
        </w:tc>
        <w:tc>
          <w:tcPr>
            <w:tcW w:w="2460" w:type="dxa"/>
            <w:tcBorders>
              <w:top w:val="nil"/>
              <w:left w:val="nil"/>
              <w:bottom w:val="single" w:sz="4" w:space="0" w:color="auto"/>
              <w:right w:val="single" w:sz="4" w:space="0" w:color="auto"/>
            </w:tcBorders>
            <w:shd w:val="clear" w:color="auto" w:fill="auto"/>
            <w:noWrap/>
            <w:vAlign w:val="bottom"/>
            <w:hideMark/>
          </w:tcPr>
          <w:p w14:paraId="70BFE7BA"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2,508,684</w:t>
            </w:r>
          </w:p>
        </w:tc>
        <w:tc>
          <w:tcPr>
            <w:tcW w:w="2570" w:type="dxa"/>
            <w:tcBorders>
              <w:top w:val="nil"/>
              <w:left w:val="nil"/>
              <w:bottom w:val="single" w:sz="4" w:space="0" w:color="auto"/>
              <w:right w:val="single" w:sz="4" w:space="0" w:color="auto"/>
            </w:tcBorders>
            <w:shd w:val="clear" w:color="auto" w:fill="auto"/>
            <w:noWrap/>
            <w:vAlign w:val="bottom"/>
            <w:hideMark/>
          </w:tcPr>
          <w:p w14:paraId="0D29C21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881,649</w:t>
            </w:r>
          </w:p>
        </w:tc>
        <w:tc>
          <w:tcPr>
            <w:tcW w:w="2700" w:type="dxa"/>
            <w:tcBorders>
              <w:top w:val="nil"/>
              <w:left w:val="nil"/>
              <w:bottom w:val="single" w:sz="4" w:space="0" w:color="auto"/>
              <w:right w:val="single" w:sz="4" w:space="0" w:color="auto"/>
            </w:tcBorders>
            <w:shd w:val="clear" w:color="auto" w:fill="auto"/>
            <w:noWrap/>
            <w:vAlign w:val="bottom"/>
            <w:hideMark/>
          </w:tcPr>
          <w:p w14:paraId="16076EAE"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3,390,333</w:t>
            </w:r>
          </w:p>
        </w:tc>
      </w:tr>
      <w:tr w:rsidR="00070AA1" w:rsidRPr="00C6378A" w14:paraId="64EE2E97"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74CF3D7"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2010</w:t>
            </w:r>
          </w:p>
        </w:tc>
        <w:tc>
          <w:tcPr>
            <w:tcW w:w="2460" w:type="dxa"/>
            <w:tcBorders>
              <w:top w:val="nil"/>
              <w:left w:val="nil"/>
              <w:bottom w:val="single" w:sz="4" w:space="0" w:color="auto"/>
              <w:right w:val="single" w:sz="4" w:space="0" w:color="auto"/>
            </w:tcBorders>
            <w:shd w:val="clear" w:color="auto" w:fill="auto"/>
            <w:noWrap/>
            <w:vAlign w:val="bottom"/>
            <w:hideMark/>
          </w:tcPr>
          <w:p w14:paraId="7E333DBE"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2,405,455</w:t>
            </w:r>
          </w:p>
        </w:tc>
        <w:tc>
          <w:tcPr>
            <w:tcW w:w="2570" w:type="dxa"/>
            <w:tcBorders>
              <w:top w:val="nil"/>
              <w:left w:val="nil"/>
              <w:bottom w:val="single" w:sz="4" w:space="0" w:color="auto"/>
              <w:right w:val="single" w:sz="4" w:space="0" w:color="auto"/>
            </w:tcBorders>
            <w:shd w:val="clear" w:color="auto" w:fill="auto"/>
            <w:noWrap/>
            <w:vAlign w:val="bottom"/>
            <w:hideMark/>
          </w:tcPr>
          <w:p w14:paraId="0ED49C89"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5,341,956</w:t>
            </w:r>
          </w:p>
        </w:tc>
        <w:tc>
          <w:tcPr>
            <w:tcW w:w="2700" w:type="dxa"/>
            <w:tcBorders>
              <w:top w:val="nil"/>
              <w:left w:val="nil"/>
              <w:bottom w:val="single" w:sz="4" w:space="0" w:color="auto"/>
              <w:right w:val="single" w:sz="4" w:space="0" w:color="auto"/>
            </w:tcBorders>
            <w:shd w:val="clear" w:color="auto" w:fill="auto"/>
            <w:noWrap/>
            <w:vAlign w:val="bottom"/>
            <w:hideMark/>
          </w:tcPr>
          <w:p w14:paraId="0D85E6A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7,747,411</w:t>
            </w:r>
          </w:p>
        </w:tc>
      </w:tr>
      <w:tr w:rsidR="00070AA1" w:rsidRPr="00C6378A" w14:paraId="48DECC29"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07E5137"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2011</w:t>
            </w:r>
          </w:p>
        </w:tc>
        <w:tc>
          <w:tcPr>
            <w:tcW w:w="2460" w:type="dxa"/>
            <w:tcBorders>
              <w:top w:val="nil"/>
              <w:left w:val="nil"/>
              <w:bottom w:val="single" w:sz="4" w:space="0" w:color="auto"/>
              <w:right w:val="single" w:sz="4" w:space="0" w:color="auto"/>
            </w:tcBorders>
            <w:shd w:val="clear" w:color="auto" w:fill="auto"/>
            <w:noWrap/>
            <w:vAlign w:val="bottom"/>
            <w:hideMark/>
          </w:tcPr>
          <w:p w14:paraId="28FE763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2,208,733</w:t>
            </w:r>
          </w:p>
        </w:tc>
        <w:tc>
          <w:tcPr>
            <w:tcW w:w="2570" w:type="dxa"/>
            <w:tcBorders>
              <w:top w:val="nil"/>
              <w:left w:val="nil"/>
              <w:bottom w:val="single" w:sz="4" w:space="0" w:color="auto"/>
              <w:right w:val="single" w:sz="4" w:space="0" w:color="auto"/>
            </w:tcBorders>
            <w:shd w:val="clear" w:color="auto" w:fill="auto"/>
            <w:noWrap/>
            <w:vAlign w:val="bottom"/>
            <w:hideMark/>
          </w:tcPr>
          <w:p w14:paraId="4509B72E"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231,970</w:t>
            </w:r>
          </w:p>
        </w:tc>
        <w:tc>
          <w:tcPr>
            <w:tcW w:w="2700" w:type="dxa"/>
            <w:tcBorders>
              <w:top w:val="nil"/>
              <w:left w:val="nil"/>
              <w:bottom w:val="single" w:sz="4" w:space="0" w:color="auto"/>
              <w:right w:val="single" w:sz="4" w:space="0" w:color="auto"/>
            </w:tcBorders>
            <w:shd w:val="clear" w:color="auto" w:fill="auto"/>
            <w:noWrap/>
            <w:vAlign w:val="bottom"/>
            <w:hideMark/>
          </w:tcPr>
          <w:p w14:paraId="20C53714"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2,440,704</w:t>
            </w:r>
          </w:p>
        </w:tc>
      </w:tr>
      <w:tr w:rsidR="00070AA1" w:rsidRPr="00C6378A" w14:paraId="026C71EC"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64B2F31"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2012</w:t>
            </w:r>
          </w:p>
        </w:tc>
        <w:tc>
          <w:tcPr>
            <w:tcW w:w="2460" w:type="dxa"/>
            <w:tcBorders>
              <w:top w:val="nil"/>
              <w:left w:val="nil"/>
              <w:bottom w:val="single" w:sz="4" w:space="0" w:color="auto"/>
              <w:right w:val="single" w:sz="4" w:space="0" w:color="auto"/>
            </w:tcBorders>
            <w:shd w:val="clear" w:color="auto" w:fill="auto"/>
            <w:noWrap/>
            <w:vAlign w:val="bottom"/>
            <w:hideMark/>
          </w:tcPr>
          <w:p w14:paraId="2D5E2CAA"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2,025,233</w:t>
            </w:r>
          </w:p>
        </w:tc>
        <w:tc>
          <w:tcPr>
            <w:tcW w:w="2570" w:type="dxa"/>
            <w:tcBorders>
              <w:top w:val="nil"/>
              <w:left w:val="nil"/>
              <w:bottom w:val="single" w:sz="4" w:space="0" w:color="auto"/>
              <w:right w:val="single" w:sz="4" w:space="0" w:color="auto"/>
            </w:tcBorders>
            <w:shd w:val="clear" w:color="auto" w:fill="auto"/>
            <w:noWrap/>
            <w:vAlign w:val="bottom"/>
            <w:hideMark/>
          </w:tcPr>
          <w:p w14:paraId="10E442A3"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11,703,848</w:t>
            </w:r>
          </w:p>
        </w:tc>
        <w:tc>
          <w:tcPr>
            <w:tcW w:w="2700" w:type="dxa"/>
            <w:tcBorders>
              <w:top w:val="nil"/>
              <w:left w:val="nil"/>
              <w:bottom w:val="single" w:sz="4" w:space="0" w:color="auto"/>
              <w:right w:val="single" w:sz="4" w:space="0" w:color="auto"/>
            </w:tcBorders>
            <w:shd w:val="clear" w:color="auto" w:fill="auto"/>
            <w:noWrap/>
            <w:vAlign w:val="bottom"/>
            <w:hideMark/>
          </w:tcPr>
          <w:p w14:paraId="1FDD28A1"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13,729,081</w:t>
            </w:r>
          </w:p>
        </w:tc>
      </w:tr>
      <w:tr w:rsidR="00070AA1" w:rsidRPr="00C6378A" w14:paraId="03940CB3"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55B1E83"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2013</w:t>
            </w:r>
          </w:p>
        </w:tc>
        <w:tc>
          <w:tcPr>
            <w:tcW w:w="2460" w:type="dxa"/>
            <w:tcBorders>
              <w:top w:val="nil"/>
              <w:left w:val="nil"/>
              <w:bottom w:val="single" w:sz="4" w:space="0" w:color="auto"/>
              <w:right w:val="single" w:sz="4" w:space="0" w:color="auto"/>
            </w:tcBorders>
            <w:shd w:val="clear" w:color="auto" w:fill="auto"/>
            <w:noWrap/>
            <w:vAlign w:val="bottom"/>
            <w:hideMark/>
          </w:tcPr>
          <w:p w14:paraId="63AE4EC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1,870,005</w:t>
            </w:r>
          </w:p>
        </w:tc>
        <w:tc>
          <w:tcPr>
            <w:tcW w:w="2570" w:type="dxa"/>
            <w:tcBorders>
              <w:top w:val="nil"/>
              <w:left w:val="nil"/>
              <w:bottom w:val="single" w:sz="4" w:space="0" w:color="auto"/>
              <w:right w:val="single" w:sz="4" w:space="0" w:color="auto"/>
            </w:tcBorders>
            <w:shd w:val="clear" w:color="auto" w:fill="auto"/>
            <w:noWrap/>
            <w:vAlign w:val="bottom"/>
            <w:hideMark/>
          </w:tcPr>
          <w:p w14:paraId="3110E1D7"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6,579,793</w:t>
            </w:r>
          </w:p>
        </w:tc>
        <w:tc>
          <w:tcPr>
            <w:tcW w:w="2700" w:type="dxa"/>
            <w:tcBorders>
              <w:top w:val="nil"/>
              <w:left w:val="nil"/>
              <w:bottom w:val="single" w:sz="4" w:space="0" w:color="auto"/>
              <w:right w:val="single" w:sz="4" w:space="0" w:color="auto"/>
            </w:tcBorders>
            <w:shd w:val="clear" w:color="auto" w:fill="auto"/>
            <w:noWrap/>
            <w:vAlign w:val="bottom"/>
            <w:hideMark/>
          </w:tcPr>
          <w:p w14:paraId="6FB4BBC3"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8,449,798</w:t>
            </w:r>
          </w:p>
        </w:tc>
      </w:tr>
      <w:tr w:rsidR="00070AA1" w:rsidRPr="00C6378A" w14:paraId="50DB6513"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1B7CF05"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2014</w:t>
            </w:r>
          </w:p>
        </w:tc>
        <w:tc>
          <w:tcPr>
            <w:tcW w:w="2460" w:type="dxa"/>
            <w:tcBorders>
              <w:top w:val="nil"/>
              <w:left w:val="nil"/>
              <w:bottom w:val="single" w:sz="4" w:space="0" w:color="auto"/>
              <w:right w:val="single" w:sz="4" w:space="0" w:color="auto"/>
            </w:tcBorders>
            <w:shd w:val="clear" w:color="auto" w:fill="auto"/>
            <w:noWrap/>
            <w:vAlign w:val="bottom"/>
            <w:hideMark/>
          </w:tcPr>
          <w:p w14:paraId="638DE228"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1,772,889</w:t>
            </w:r>
          </w:p>
        </w:tc>
        <w:tc>
          <w:tcPr>
            <w:tcW w:w="2570" w:type="dxa"/>
            <w:tcBorders>
              <w:top w:val="nil"/>
              <w:left w:val="nil"/>
              <w:bottom w:val="single" w:sz="4" w:space="0" w:color="auto"/>
              <w:right w:val="single" w:sz="4" w:space="0" w:color="auto"/>
            </w:tcBorders>
            <w:shd w:val="clear" w:color="auto" w:fill="auto"/>
            <w:noWrap/>
            <w:vAlign w:val="bottom"/>
            <w:hideMark/>
          </w:tcPr>
          <w:p w14:paraId="552A159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6,912,530</w:t>
            </w:r>
          </w:p>
        </w:tc>
        <w:tc>
          <w:tcPr>
            <w:tcW w:w="2700" w:type="dxa"/>
            <w:tcBorders>
              <w:top w:val="nil"/>
              <w:left w:val="nil"/>
              <w:bottom w:val="single" w:sz="4" w:space="0" w:color="auto"/>
              <w:right w:val="single" w:sz="4" w:space="0" w:color="auto"/>
            </w:tcBorders>
            <w:shd w:val="clear" w:color="auto" w:fill="auto"/>
            <w:noWrap/>
            <w:vAlign w:val="bottom"/>
            <w:hideMark/>
          </w:tcPr>
          <w:p w14:paraId="4A8AFB6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8,685,419</w:t>
            </w:r>
          </w:p>
        </w:tc>
      </w:tr>
      <w:tr w:rsidR="00070AA1" w:rsidRPr="00C6378A" w14:paraId="7D73DA0E"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BC16EC2"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2015</w:t>
            </w:r>
          </w:p>
        </w:tc>
        <w:tc>
          <w:tcPr>
            <w:tcW w:w="2460" w:type="dxa"/>
            <w:tcBorders>
              <w:top w:val="nil"/>
              <w:left w:val="nil"/>
              <w:bottom w:val="single" w:sz="4" w:space="0" w:color="auto"/>
              <w:right w:val="single" w:sz="4" w:space="0" w:color="auto"/>
            </w:tcBorders>
            <w:shd w:val="clear" w:color="auto" w:fill="auto"/>
            <w:noWrap/>
            <w:vAlign w:val="bottom"/>
            <w:hideMark/>
          </w:tcPr>
          <w:p w14:paraId="16C2CEB0"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1,870,872</w:t>
            </w:r>
          </w:p>
        </w:tc>
        <w:tc>
          <w:tcPr>
            <w:tcW w:w="2570" w:type="dxa"/>
            <w:tcBorders>
              <w:top w:val="nil"/>
              <w:left w:val="nil"/>
              <w:bottom w:val="single" w:sz="4" w:space="0" w:color="auto"/>
              <w:right w:val="single" w:sz="4" w:space="0" w:color="auto"/>
            </w:tcBorders>
            <w:shd w:val="clear" w:color="auto" w:fill="auto"/>
            <w:noWrap/>
            <w:vAlign w:val="bottom"/>
            <w:hideMark/>
          </w:tcPr>
          <w:p w14:paraId="4A7FF0FB"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6,940,267</w:t>
            </w:r>
          </w:p>
        </w:tc>
        <w:tc>
          <w:tcPr>
            <w:tcW w:w="2700" w:type="dxa"/>
            <w:tcBorders>
              <w:top w:val="nil"/>
              <w:left w:val="nil"/>
              <w:bottom w:val="single" w:sz="4" w:space="0" w:color="auto"/>
              <w:right w:val="single" w:sz="4" w:space="0" w:color="auto"/>
            </w:tcBorders>
            <w:shd w:val="clear" w:color="auto" w:fill="auto"/>
            <w:noWrap/>
            <w:vAlign w:val="bottom"/>
            <w:hideMark/>
          </w:tcPr>
          <w:p w14:paraId="294CAC1F"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8,811,140</w:t>
            </w:r>
          </w:p>
        </w:tc>
      </w:tr>
      <w:tr w:rsidR="00070AA1" w:rsidRPr="00C6378A" w14:paraId="3EF1928A"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0813F26"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2016</w:t>
            </w:r>
          </w:p>
        </w:tc>
        <w:tc>
          <w:tcPr>
            <w:tcW w:w="2460" w:type="dxa"/>
            <w:tcBorders>
              <w:top w:val="nil"/>
              <w:left w:val="nil"/>
              <w:bottom w:val="single" w:sz="4" w:space="0" w:color="auto"/>
              <w:right w:val="single" w:sz="4" w:space="0" w:color="auto"/>
            </w:tcBorders>
            <w:shd w:val="clear" w:color="auto" w:fill="auto"/>
            <w:noWrap/>
            <w:vAlign w:val="bottom"/>
            <w:hideMark/>
          </w:tcPr>
          <w:p w14:paraId="59607C94"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1,775,528</w:t>
            </w:r>
          </w:p>
        </w:tc>
        <w:tc>
          <w:tcPr>
            <w:tcW w:w="2570" w:type="dxa"/>
            <w:tcBorders>
              <w:top w:val="nil"/>
              <w:left w:val="nil"/>
              <w:bottom w:val="single" w:sz="4" w:space="0" w:color="auto"/>
              <w:right w:val="single" w:sz="4" w:space="0" w:color="auto"/>
            </w:tcBorders>
            <w:shd w:val="clear" w:color="auto" w:fill="auto"/>
            <w:noWrap/>
            <w:vAlign w:val="bottom"/>
            <w:hideMark/>
          </w:tcPr>
          <w:p w14:paraId="6598298F"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7,329,175</w:t>
            </w:r>
          </w:p>
        </w:tc>
        <w:tc>
          <w:tcPr>
            <w:tcW w:w="2700" w:type="dxa"/>
            <w:tcBorders>
              <w:top w:val="nil"/>
              <w:left w:val="nil"/>
              <w:bottom w:val="single" w:sz="4" w:space="0" w:color="auto"/>
              <w:right w:val="single" w:sz="4" w:space="0" w:color="auto"/>
            </w:tcBorders>
            <w:shd w:val="clear" w:color="auto" w:fill="auto"/>
            <w:noWrap/>
            <w:vAlign w:val="bottom"/>
            <w:hideMark/>
          </w:tcPr>
          <w:p w14:paraId="197F2D17"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9,104,702</w:t>
            </w:r>
          </w:p>
        </w:tc>
      </w:tr>
      <w:tr w:rsidR="00070AA1" w:rsidRPr="00C6378A" w14:paraId="26E78898" w14:textId="77777777" w:rsidTr="001737E5">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48F810A" w14:textId="77777777" w:rsidR="00070AA1" w:rsidRPr="00C6378A" w:rsidRDefault="00070AA1" w:rsidP="00070AA1">
            <w:pPr>
              <w:spacing w:line="240" w:lineRule="auto"/>
              <w:jc w:val="center"/>
              <w:rPr>
                <w:bCs w:val="0"/>
                <w:kern w:val="0"/>
                <w:sz w:val="18"/>
                <w:szCs w:val="18"/>
              </w:rPr>
            </w:pPr>
            <w:r w:rsidRPr="00C6378A">
              <w:rPr>
                <w:bCs w:val="0"/>
                <w:kern w:val="0"/>
                <w:sz w:val="18"/>
                <w:szCs w:val="18"/>
              </w:rPr>
              <w:t>2017</w:t>
            </w:r>
          </w:p>
        </w:tc>
        <w:tc>
          <w:tcPr>
            <w:tcW w:w="2460" w:type="dxa"/>
            <w:tcBorders>
              <w:top w:val="nil"/>
              <w:left w:val="nil"/>
              <w:bottom w:val="single" w:sz="4" w:space="0" w:color="auto"/>
              <w:right w:val="single" w:sz="4" w:space="0" w:color="auto"/>
            </w:tcBorders>
            <w:shd w:val="clear" w:color="auto" w:fill="auto"/>
            <w:noWrap/>
            <w:vAlign w:val="bottom"/>
            <w:hideMark/>
          </w:tcPr>
          <w:p w14:paraId="20562C5C"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1,844,997</w:t>
            </w:r>
          </w:p>
        </w:tc>
        <w:tc>
          <w:tcPr>
            <w:tcW w:w="2570" w:type="dxa"/>
            <w:tcBorders>
              <w:top w:val="nil"/>
              <w:left w:val="nil"/>
              <w:bottom w:val="single" w:sz="4" w:space="0" w:color="auto"/>
              <w:right w:val="single" w:sz="4" w:space="0" w:color="auto"/>
            </w:tcBorders>
            <w:shd w:val="clear" w:color="auto" w:fill="auto"/>
            <w:noWrap/>
            <w:vAlign w:val="bottom"/>
            <w:hideMark/>
          </w:tcPr>
          <w:p w14:paraId="24F08317"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2,415,224</w:t>
            </w:r>
          </w:p>
        </w:tc>
        <w:tc>
          <w:tcPr>
            <w:tcW w:w="2700" w:type="dxa"/>
            <w:tcBorders>
              <w:top w:val="nil"/>
              <w:left w:val="nil"/>
              <w:bottom w:val="single" w:sz="4" w:space="0" w:color="auto"/>
              <w:right w:val="single" w:sz="4" w:space="0" w:color="auto"/>
            </w:tcBorders>
            <w:shd w:val="clear" w:color="auto" w:fill="auto"/>
            <w:noWrap/>
            <w:vAlign w:val="bottom"/>
            <w:hideMark/>
          </w:tcPr>
          <w:p w14:paraId="39E1CFA4"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4,260,221</w:t>
            </w:r>
          </w:p>
        </w:tc>
      </w:tr>
      <w:tr w:rsidR="00070AA1" w:rsidRPr="00C6378A" w14:paraId="404CEFD1" w14:textId="77777777" w:rsidTr="0067083A">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B6FE3AC" w14:textId="77777777" w:rsidR="00070AA1" w:rsidRPr="00C6378A" w:rsidRDefault="00070AA1" w:rsidP="0067083A">
            <w:pPr>
              <w:spacing w:line="240" w:lineRule="auto"/>
              <w:jc w:val="center"/>
              <w:rPr>
                <w:bCs w:val="0"/>
                <w:kern w:val="0"/>
                <w:sz w:val="18"/>
                <w:szCs w:val="18"/>
              </w:rPr>
            </w:pPr>
            <w:r w:rsidRPr="00C6378A">
              <w:rPr>
                <w:bCs w:val="0"/>
                <w:kern w:val="0"/>
                <w:sz w:val="18"/>
                <w:szCs w:val="18"/>
              </w:rPr>
              <w:t>2018</w:t>
            </w:r>
          </w:p>
        </w:tc>
        <w:tc>
          <w:tcPr>
            <w:tcW w:w="2460" w:type="dxa"/>
            <w:tcBorders>
              <w:top w:val="nil"/>
              <w:left w:val="nil"/>
              <w:bottom w:val="single" w:sz="4" w:space="0" w:color="auto"/>
              <w:right w:val="single" w:sz="4" w:space="0" w:color="auto"/>
            </w:tcBorders>
            <w:shd w:val="clear" w:color="auto" w:fill="auto"/>
            <w:noWrap/>
            <w:vAlign w:val="bottom"/>
            <w:hideMark/>
          </w:tcPr>
          <w:p w14:paraId="2E7DF6A8"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2,051,538</w:t>
            </w:r>
          </w:p>
        </w:tc>
        <w:tc>
          <w:tcPr>
            <w:tcW w:w="2570" w:type="dxa"/>
            <w:tcBorders>
              <w:top w:val="nil"/>
              <w:left w:val="nil"/>
              <w:bottom w:val="single" w:sz="4" w:space="0" w:color="auto"/>
              <w:right w:val="single" w:sz="4" w:space="0" w:color="auto"/>
            </w:tcBorders>
            <w:shd w:val="clear" w:color="auto" w:fill="auto"/>
            <w:noWrap/>
            <w:vAlign w:val="bottom"/>
            <w:hideMark/>
          </w:tcPr>
          <w:p w14:paraId="316C553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2,429,166 </w:t>
            </w:r>
          </w:p>
        </w:tc>
        <w:tc>
          <w:tcPr>
            <w:tcW w:w="2700" w:type="dxa"/>
            <w:tcBorders>
              <w:top w:val="nil"/>
              <w:left w:val="nil"/>
              <w:bottom w:val="single" w:sz="4" w:space="0" w:color="auto"/>
              <w:right w:val="single" w:sz="4" w:space="0" w:color="auto"/>
            </w:tcBorders>
            <w:shd w:val="clear" w:color="auto" w:fill="auto"/>
            <w:noWrap/>
            <w:vAlign w:val="bottom"/>
            <w:hideMark/>
          </w:tcPr>
          <w:p w14:paraId="240DCBB7"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4,480,704 </w:t>
            </w:r>
          </w:p>
        </w:tc>
      </w:tr>
      <w:tr w:rsidR="00070AA1" w:rsidRPr="00C6378A" w14:paraId="39A917C5" w14:textId="77777777" w:rsidTr="0067083A">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298F193" w14:textId="77777777" w:rsidR="00070AA1" w:rsidRPr="00C6378A" w:rsidRDefault="00070AA1" w:rsidP="0067083A">
            <w:pPr>
              <w:spacing w:line="240" w:lineRule="auto"/>
              <w:jc w:val="center"/>
              <w:rPr>
                <w:bCs w:val="0"/>
                <w:kern w:val="0"/>
                <w:sz w:val="18"/>
                <w:szCs w:val="18"/>
              </w:rPr>
            </w:pPr>
            <w:r w:rsidRPr="00C6378A">
              <w:rPr>
                <w:bCs w:val="0"/>
                <w:kern w:val="0"/>
                <w:sz w:val="18"/>
                <w:szCs w:val="18"/>
              </w:rPr>
              <w:t>2019</w:t>
            </w:r>
          </w:p>
        </w:tc>
        <w:tc>
          <w:tcPr>
            <w:tcW w:w="2460" w:type="dxa"/>
            <w:tcBorders>
              <w:top w:val="nil"/>
              <w:left w:val="nil"/>
              <w:bottom w:val="single" w:sz="4" w:space="0" w:color="auto"/>
              <w:right w:val="single" w:sz="4" w:space="0" w:color="auto"/>
            </w:tcBorders>
            <w:shd w:val="clear" w:color="auto" w:fill="auto"/>
            <w:noWrap/>
            <w:vAlign w:val="bottom"/>
            <w:hideMark/>
          </w:tcPr>
          <w:p w14:paraId="20788DA3"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2,125,932</w:t>
            </w:r>
          </w:p>
        </w:tc>
        <w:tc>
          <w:tcPr>
            <w:tcW w:w="2570" w:type="dxa"/>
            <w:tcBorders>
              <w:top w:val="nil"/>
              <w:left w:val="nil"/>
              <w:bottom w:val="single" w:sz="4" w:space="0" w:color="auto"/>
              <w:right w:val="single" w:sz="4" w:space="0" w:color="auto"/>
            </w:tcBorders>
            <w:shd w:val="clear" w:color="auto" w:fill="auto"/>
            <w:noWrap/>
            <w:vAlign w:val="bottom"/>
            <w:hideMark/>
          </w:tcPr>
          <w:p w14:paraId="4BDE7C02"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2,438,478 </w:t>
            </w:r>
          </w:p>
        </w:tc>
        <w:tc>
          <w:tcPr>
            <w:tcW w:w="2700" w:type="dxa"/>
            <w:tcBorders>
              <w:top w:val="nil"/>
              <w:left w:val="nil"/>
              <w:bottom w:val="single" w:sz="4" w:space="0" w:color="auto"/>
              <w:right w:val="single" w:sz="4" w:space="0" w:color="auto"/>
            </w:tcBorders>
            <w:shd w:val="clear" w:color="auto" w:fill="auto"/>
            <w:noWrap/>
            <w:vAlign w:val="bottom"/>
            <w:hideMark/>
          </w:tcPr>
          <w:p w14:paraId="314831BE"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4,564,409 </w:t>
            </w:r>
          </w:p>
        </w:tc>
      </w:tr>
      <w:tr w:rsidR="00070AA1" w:rsidRPr="00C6378A" w14:paraId="2C6686B5" w14:textId="77777777" w:rsidTr="0067083A">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701C0ED" w14:textId="77777777" w:rsidR="00070AA1" w:rsidRPr="00C6378A" w:rsidRDefault="00070AA1" w:rsidP="0067083A">
            <w:pPr>
              <w:spacing w:line="240" w:lineRule="auto"/>
              <w:jc w:val="center"/>
              <w:rPr>
                <w:bCs w:val="0"/>
                <w:kern w:val="0"/>
                <w:sz w:val="18"/>
                <w:szCs w:val="18"/>
              </w:rPr>
            </w:pPr>
            <w:r w:rsidRPr="00C6378A">
              <w:rPr>
                <w:bCs w:val="0"/>
                <w:kern w:val="0"/>
                <w:sz w:val="18"/>
                <w:szCs w:val="18"/>
              </w:rPr>
              <w:t>2020</w:t>
            </w:r>
          </w:p>
        </w:tc>
        <w:tc>
          <w:tcPr>
            <w:tcW w:w="2460" w:type="dxa"/>
            <w:tcBorders>
              <w:top w:val="nil"/>
              <w:left w:val="nil"/>
              <w:bottom w:val="single" w:sz="4" w:space="0" w:color="auto"/>
              <w:right w:val="single" w:sz="4" w:space="0" w:color="auto"/>
            </w:tcBorders>
            <w:shd w:val="clear" w:color="auto" w:fill="auto"/>
            <w:noWrap/>
            <w:vAlign w:val="bottom"/>
            <w:hideMark/>
          </w:tcPr>
          <w:p w14:paraId="09530E35"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2,150,070</w:t>
            </w:r>
          </w:p>
        </w:tc>
        <w:tc>
          <w:tcPr>
            <w:tcW w:w="2570" w:type="dxa"/>
            <w:tcBorders>
              <w:top w:val="nil"/>
              <w:left w:val="nil"/>
              <w:bottom w:val="single" w:sz="4" w:space="0" w:color="auto"/>
              <w:right w:val="single" w:sz="4" w:space="0" w:color="auto"/>
            </w:tcBorders>
            <w:shd w:val="clear" w:color="auto" w:fill="auto"/>
            <w:noWrap/>
            <w:vAlign w:val="bottom"/>
            <w:hideMark/>
          </w:tcPr>
          <w:p w14:paraId="5254AD04"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2,509,587 </w:t>
            </w:r>
          </w:p>
        </w:tc>
        <w:tc>
          <w:tcPr>
            <w:tcW w:w="2700" w:type="dxa"/>
            <w:tcBorders>
              <w:top w:val="nil"/>
              <w:left w:val="nil"/>
              <w:bottom w:val="single" w:sz="4" w:space="0" w:color="auto"/>
              <w:right w:val="single" w:sz="4" w:space="0" w:color="auto"/>
            </w:tcBorders>
            <w:shd w:val="clear" w:color="auto" w:fill="auto"/>
            <w:noWrap/>
            <w:vAlign w:val="bottom"/>
            <w:hideMark/>
          </w:tcPr>
          <w:p w14:paraId="157E614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4,659,658 </w:t>
            </w:r>
          </w:p>
        </w:tc>
      </w:tr>
      <w:tr w:rsidR="00070AA1" w:rsidRPr="00C6378A" w14:paraId="68D176C3" w14:textId="77777777" w:rsidTr="0067083A">
        <w:trPr>
          <w:trHeight w:hRule="exact" w:val="432"/>
          <w:jc w:val="center"/>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44AA425" w14:textId="77777777" w:rsidR="00070AA1" w:rsidRPr="00C6378A" w:rsidRDefault="00070AA1" w:rsidP="0067083A">
            <w:pPr>
              <w:spacing w:line="240" w:lineRule="auto"/>
              <w:jc w:val="center"/>
              <w:rPr>
                <w:bCs w:val="0"/>
                <w:kern w:val="0"/>
                <w:sz w:val="18"/>
                <w:szCs w:val="18"/>
              </w:rPr>
            </w:pPr>
            <w:r w:rsidRPr="00C6378A">
              <w:rPr>
                <w:bCs w:val="0"/>
                <w:kern w:val="0"/>
                <w:sz w:val="18"/>
                <w:szCs w:val="18"/>
              </w:rPr>
              <w:t>2021</w:t>
            </w:r>
          </w:p>
        </w:tc>
        <w:tc>
          <w:tcPr>
            <w:tcW w:w="2460" w:type="dxa"/>
            <w:tcBorders>
              <w:top w:val="nil"/>
              <w:left w:val="nil"/>
              <w:bottom w:val="single" w:sz="4" w:space="0" w:color="auto"/>
              <w:right w:val="single" w:sz="4" w:space="0" w:color="auto"/>
            </w:tcBorders>
            <w:shd w:val="clear" w:color="auto" w:fill="auto"/>
            <w:noWrap/>
            <w:vAlign w:val="bottom"/>
            <w:hideMark/>
          </w:tcPr>
          <w:p w14:paraId="6E8809D6"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2,345,438</w:t>
            </w:r>
          </w:p>
        </w:tc>
        <w:tc>
          <w:tcPr>
            <w:tcW w:w="2570" w:type="dxa"/>
            <w:tcBorders>
              <w:top w:val="nil"/>
              <w:left w:val="nil"/>
              <w:bottom w:val="single" w:sz="4" w:space="0" w:color="auto"/>
              <w:right w:val="single" w:sz="4" w:space="0" w:color="auto"/>
            </w:tcBorders>
            <w:shd w:val="clear" w:color="auto" w:fill="auto"/>
            <w:noWrap/>
            <w:vAlign w:val="bottom"/>
            <w:hideMark/>
          </w:tcPr>
          <w:p w14:paraId="73EE543F"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2,764,664 </w:t>
            </w:r>
          </w:p>
        </w:tc>
        <w:tc>
          <w:tcPr>
            <w:tcW w:w="2700" w:type="dxa"/>
            <w:tcBorders>
              <w:top w:val="nil"/>
              <w:left w:val="nil"/>
              <w:bottom w:val="single" w:sz="4" w:space="0" w:color="auto"/>
              <w:right w:val="single" w:sz="4" w:space="0" w:color="auto"/>
            </w:tcBorders>
            <w:shd w:val="clear" w:color="auto" w:fill="auto"/>
            <w:noWrap/>
            <w:vAlign w:val="bottom"/>
            <w:hideMark/>
          </w:tcPr>
          <w:p w14:paraId="1922D852" w14:textId="77777777" w:rsidR="00070AA1" w:rsidRPr="00C6378A" w:rsidRDefault="00070AA1" w:rsidP="00070AA1">
            <w:pPr>
              <w:spacing w:line="240" w:lineRule="auto"/>
              <w:rPr>
                <w:bCs w:val="0"/>
                <w:color w:val="000000"/>
                <w:kern w:val="0"/>
                <w:sz w:val="18"/>
                <w:szCs w:val="18"/>
              </w:rPr>
            </w:pPr>
            <w:r w:rsidRPr="00C6378A">
              <w:rPr>
                <w:bCs w:val="0"/>
                <w:color w:val="000000"/>
                <w:kern w:val="0"/>
                <w:sz w:val="18"/>
                <w:szCs w:val="18"/>
              </w:rPr>
              <w:t xml:space="preserve">5,110,102 </w:t>
            </w:r>
          </w:p>
        </w:tc>
      </w:tr>
    </w:tbl>
    <w:p w14:paraId="069416F1" w14:textId="2ED76004" w:rsidR="00F872D4" w:rsidRPr="00C6378A" w:rsidRDefault="00F872D4" w:rsidP="000F10A1">
      <w:pPr>
        <w:spacing w:line="240" w:lineRule="auto"/>
        <w:ind w:left="86" w:firstLine="0"/>
        <w:rPr>
          <w:rFonts w:eastAsia="Calibri" w:cs="Times New Roman"/>
          <w:bCs w:val="0"/>
          <w:kern w:val="0"/>
          <w:sz w:val="18"/>
          <w:szCs w:val="18"/>
        </w:rPr>
      </w:pPr>
      <w:r w:rsidRPr="00C6378A">
        <w:rPr>
          <w:rFonts w:eastAsia="Calibri"/>
          <w:bCs w:val="0"/>
          <w:kern w:val="0"/>
          <w:sz w:val="18"/>
          <w:szCs w:val="18"/>
        </w:rPr>
        <w:t>Numbers may not add across due to rounding.</w:t>
      </w:r>
    </w:p>
    <w:p w14:paraId="323C046C" w14:textId="350842CA" w:rsidR="00070AA1" w:rsidRPr="00C6378A" w:rsidRDefault="00070AA1" w:rsidP="000F10A1">
      <w:pPr>
        <w:spacing w:line="240" w:lineRule="auto"/>
        <w:ind w:left="86" w:firstLine="0"/>
        <w:rPr>
          <w:rFonts w:eastAsia="Calibri" w:cs="Times New Roman"/>
          <w:bCs w:val="0"/>
          <w:kern w:val="0"/>
          <w:sz w:val="18"/>
          <w:szCs w:val="18"/>
        </w:rPr>
      </w:pPr>
      <w:r w:rsidRPr="00C6378A">
        <w:rPr>
          <w:rFonts w:eastAsia="Calibri" w:cs="Times New Roman"/>
          <w:bCs w:val="0"/>
          <w:kern w:val="0"/>
          <w:sz w:val="18"/>
          <w:szCs w:val="18"/>
        </w:rPr>
        <w:t>Source: Docket No. ACR2008, Library Reference USPS-FY08-2, Excel file “FY08PubSeg&amp;CompRpt.xlsx,” tab”CS18,” cells U58, U59, U60, December 29, 2008; Docket No. ACR2009, Library Reference USPS-FY09-2, Excel file “FY09 Public CS&amp;C Rpt.xlsx,” tab “CS18,” cells U59, U60, U61, December 29, 2009; Docket No. ACR2010, Library Reference USPS-FY10-2, Excel file “FY10 Public CS&amp;C Rpt.xlsx,” “tab CS18,” cells U60, U61, U62, December 29, 2010; Docket No. ACR2011, Library Reference USPS-FY11-2, Excel file “FY11Public CS&amp;CRpt.xlsx,” tab “CS18,” cells U60, U61, U62, December 29, 2011; Docket No. ACR2012, Library Reference USPS-FY12-2, Excel file “FY12.Public CS&amp;CRpt.xlsx,” tab “CS18,” cells U60, U61, U62, December 28, 2012; Docket No. ACR2013, Library Reference USPS-FY13-2, Excel file “FY13.Public CS&amp;CRpt.Revised.xlsx,” tab “CS18,” cells U61, U62, U63, December 27, 2013; Docket No. ACR2014, Library Reference USPS-FY14-2, Excel file “FY14.2.Public Cost Segs and Comp.xlsx,” tab “CS18,” cells U61, U62, U63, December 29, 2014; Docket No. ACR2015, Library Reference USPS-FY15-2, Excel file “FY15.Public Cost Segs and Comps.xlsx,” tab “CS18,” cells U59, U60, U61, December 29, 2015; Docket No. ACR2016, Library Reference USPS-FY16-2, Excel file “FY16Public Cost Segs and Comps.xlsx,” tab “CS18,” cells AC59, AC60, AC61, December 29, 2016;  Docket No. ACR2017, Library Reference USPS-FY17-2, Excel file “FY17Public Cost Segs and Comps.xlsx,” tab “CS18,” cells AE59, AE60, AE61, December 29, 2017; Docket No. ACR2018, Library Reference USPS-FY18-2, Excel file “FY18Public Cost Segs and Comps.xlsx,” tab “CS18,” cells AE58, AE59, AE60, December 29, 2018; Docket No. ACR2019, Library Reference USPS-FY19-2, Excel file “FY19Public Cost Segs and Comps.xlsx,” tab “CS18,” cells AE58, AE59, AE60, December 27, 2019; Docket No. ACR2020, Library Reference USPS-FY20-2, Excel file “FY20Public Cost Segs and Comps.xlsx,” tab “CS18,” cells AE58, AE59, AE60, December 29, 2020; Docket No. ACR2021, Library Reference USPS-FY21-2, Excel file “FY21Public Cost Segs and Comps.xlsx,” tab “CS18," cells AE58, AE59, AE60, December 29, 2021.</w:t>
      </w:r>
    </w:p>
    <w:p w14:paraId="1BDC3973" w14:textId="6F60955F" w:rsidR="00982AA4" w:rsidRPr="00C34DA3" w:rsidRDefault="00ED2D29" w:rsidP="00F972AE">
      <w:pPr>
        <w:rPr>
          <w:rFonts w:eastAsia="Calibri"/>
        </w:rPr>
      </w:pPr>
      <w:r>
        <w:rPr>
          <w:rFonts w:eastAsia="Calibri"/>
        </w:rPr>
        <w:lastRenderedPageBreak/>
        <w:t>T</w:t>
      </w:r>
      <w:r w:rsidR="00BE70A1" w:rsidRPr="00BE70A1">
        <w:rPr>
          <w:rFonts w:eastAsia="Calibri"/>
        </w:rPr>
        <w:t>he Mailers and PSA point to FY 2009 and FY 2011 as supportive of their proposed approach</w:t>
      </w:r>
      <w:r w:rsidR="002D1E37">
        <w:rPr>
          <w:rFonts w:eastAsia="Calibri"/>
        </w:rPr>
        <w:t xml:space="preserve"> because </w:t>
      </w:r>
      <w:r>
        <w:rPr>
          <w:rFonts w:eastAsia="Calibri"/>
        </w:rPr>
        <w:t>during those</w:t>
      </w:r>
      <w:r w:rsidR="002D1E37">
        <w:rPr>
          <w:rFonts w:eastAsia="Calibri"/>
        </w:rPr>
        <w:t xml:space="preserve"> years </w:t>
      </w:r>
      <w:r w:rsidR="006E45E8">
        <w:rPr>
          <w:rFonts w:eastAsia="Calibri"/>
        </w:rPr>
        <w:t xml:space="preserve">Congress reduced or deferred </w:t>
      </w:r>
      <w:r w:rsidR="007621E2">
        <w:rPr>
          <w:rFonts w:eastAsia="Calibri"/>
        </w:rPr>
        <w:t xml:space="preserve">retiree health benefit </w:t>
      </w:r>
      <w:r w:rsidR="006E45E8">
        <w:rPr>
          <w:rFonts w:eastAsia="Calibri"/>
        </w:rPr>
        <w:t>funding requirements</w:t>
      </w:r>
      <w:r w:rsidR="00691CFD">
        <w:rPr>
          <w:rFonts w:eastAsia="Calibri"/>
        </w:rPr>
        <w:t>,</w:t>
      </w:r>
      <w:r w:rsidR="006E45E8">
        <w:rPr>
          <w:rFonts w:eastAsia="Calibri"/>
        </w:rPr>
        <w:t xml:space="preserve"> but retiree health benefit normal costs were still attributed to products</w:t>
      </w:r>
      <w:r w:rsidR="007621E2">
        <w:rPr>
          <w:rFonts w:eastAsia="Calibri"/>
        </w:rPr>
        <w:t xml:space="preserve">.  </w:t>
      </w:r>
      <w:r w:rsidR="007621E2" w:rsidRPr="00BE70A1">
        <w:rPr>
          <w:rFonts w:eastAsia="Calibri"/>
          <w:i/>
        </w:rPr>
        <w:t xml:space="preserve">See </w:t>
      </w:r>
      <w:r w:rsidR="007621E2" w:rsidRPr="00BE70A1">
        <w:rPr>
          <w:rFonts w:eastAsia="Calibri"/>
        </w:rPr>
        <w:t xml:space="preserve">Mailers’ Motion and Petition at 13-14; PSA Response at 2-3.  </w:t>
      </w:r>
      <w:r w:rsidR="007621E2">
        <w:rPr>
          <w:rFonts w:eastAsia="Calibri"/>
        </w:rPr>
        <w:t>However</w:t>
      </w:r>
      <w:r w:rsidR="00BE70A1" w:rsidRPr="00BE70A1">
        <w:rPr>
          <w:rFonts w:eastAsia="Calibri"/>
        </w:rPr>
        <w:t xml:space="preserve">, </w:t>
      </w:r>
      <w:r w:rsidR="00F972AE">
        <w:rPr>
          <w:rFonts w:eastAsia="Calibri"/>
        </w:rPr>
        <w:t xml:space="preserve">as shown in Table II, </w:t>
      </w:r>
      <w:r w:rsidR="00BE70A1" w:rsidRPr="00BE70A1">
        <w:rPr>
          <w:rFonts w:eastAsia="Calibri"/>
        </w:rPr>
        <w:t>the Postal Service and the Commission have consistently applied the same analytical principle in all fiscal years.  In FY 2009, the mandated statutory prefunding payment was retroactively reduced by statute</w:t>
      </w:r>
      <w:r w:rsidR="00514EFB">
        <w:rPr>
          <w:rFonts w:eastAsia="Calibri"/>
        </w:rPr>
        <w:t>, and in FY</w:t>
      </w:r>
      <w:r w:rsidR="00003287">
        <w:rPr>
          <w:rFonts w:eastAsia="Calibri"/>
        </w:rPr>
        <w:t> </w:t>
      </w:r>
      <w:r w:rsidR="00514EFB">
        <w:rPr>
          <w:rFonts w:eastAsia="Calibri"/>
        </w:rPr>
        <w:t xml:space="preserve">2011, </w:t>
      </w:r>
      <w:r w:rsidR="00BA1264">
        <w:rPr>
          <w:rFonts w:eastAsia="Calibri"/>
        </w:rPr>
        <w:t>a scheduled payment was deferred to the following fiscal year</w:t>
      </w:r>
      <w:r w:rsidR="00442468">
        <w:rPr>
          <w:rFonts w:eastAsia="Calibri"/>
        </w:rPr>
        <w:t>.</w:t>
      </w:r>
      <w:r w:rsidR="00BE70A1" w:rsidRPr="00BE70A1">
        <w:rPr>
          <w:rFonts w:eastAsia="Calibri"/>
          <w:vertAlign w:val="superscript"/>
        </w:rPr>
        <w:footnoteReference w:id="24"/>
      </w:r>
      <w:r w:rsidR="00B76632">
        <w:rPr>
          <w:rFonts w:eastAsia="Calibri"/>
        </w:rPr>
        <w:t xml:space="preserve"> </w:t>
      </w:r>
      <w:r w:rsidR="00BE70A1" w:rsidRPr="00BE70A1">
        <w:rPr>
          <w:rFonts w:eastAsia="Calibri"/>
        </w:rPr>
        <w:t xml:space="preserve"> </w:t>
      </w:r>
      <w:r w:rsidR="00442468">
        <w:rPr>
          <w:rFonts w:eastAsia="Calibri"/>
        </w:rPr>
        <w:t xml:space="preserve">This </w:t>
      </w:r>
      <w:r w:rsidR="006D77BE">
        <w:rPr>
          <w:rFonts w:eastAsia="Calibri"/>
        </w:rPr>
        <w:t>caus</w:t>
      </w:r>
      <w:r w:rsidR="007660EE">
        <w:rPr>
          <w:rFonts w:eastAsia="Calibri"/>
        </w:rPr>
        <w:t>ed</w:t>
      </w:r>
      <w:r w:rsidR="00085E30" w:rsidRPr="00085E30">
        <w:rPr>
          <w:rFonts w:eastAsia="Calibri"/>
        </w:rPr>
        <w:t>, in both years</w:t>
      </w:r>
      <w:r w:rsidR="00085E30">
        <w:rPr>
          <w:rFonts w:eastAsia="Calibri"/>
        </w:rPr>
        <w:t>,</w:t>
      </w:r>
      <w:r w:rsidR="006D77BE">
        <w:rPr>
          <w:rFonts w:eastAsia="Calibri"/>
        </w:rPr>
        <w:t xml:space="preserve"> </w:t>
      </w:r>
      <w:r w:rsidR="00BE0015">
        <w:rPr>
          <w:rFonts w:eastAsia="Calibri"/>
        </w:rPr>
        <w:t xml:space="preserve">the </w:t>
      </w:r>
      <w:r w:rsidR="000C26DF">
        <w:rPr>
          <w:rFonts w:eastAsia="Calibri"/>
        </w:rPr>
        <w:t xml:space="preserve">total </w:t>
      </w:r>
      <w:r w:rsidR="00BE70A1" w:rsidRPr="00BE70A1">
        <w:rPr>
          <w:rFonts w:eastAsia="Calibri"/>
        </w:rPr>
        <w:t>economic costs to exceed accounting costs</w:t>
      </w:r>
      <w:r w:rsidR="003D44DF">
        <w:rPr>
          <w:rFonts w:eastAsia="Calibri"/>
        </w:rPr>
        <w:t>,</w:t>
      </w:r>
      <w:r w:rsidR="00BE70A1" w:rsidRPr="00BE70A1">
        <w:rPr>
          <w:rFonts w:eastAsia="Calibri"/>
        </w:rPr>
        <w:t xml:space="preserve"> </w:t>
      </w:r>
      <w:r w:rsidR="552BDFC9" w:rsidRPr="2A479223">
        <w:rPr>
          <w:rFonts w:eastAsia="Calibri"/>
        </w:rPr>
        <w:t>but</w:t>
      </w:r>
      <w:r w:rsidR="001C359F">
        <w:rPr>
          <w:rFonts w:eastAsia="Calibri"/>
        </w:rPr>
        <w:t xml:space="preserve"> </w:t>
      </w:r>
      <w:r w:rsidR="002336A9">
        <w:rPr>
          <w:rFonts w:eastAsia="Calibri"/>
        </w:rPr>
        <w:t>t</w:t>
      </w:r>
      <w:r w:rsidR="00785C51" w:rsidRPr="00785C51">
        <w:rPr>
          <w:rFonts w:eastAsia="Calibri"/>
        </w:rPr>
        <w:t xml:space="preserve">he attributable portion of the economic costs </w:t>
      </w:r>
      <w:r w:rsidR="10618A9F" w:rsidRPr="063290B9">
        <w:rPr>
          <w:rFonts w:eastAsia="Calibri"/>
        </w:rPr>
        <w:t>were</w:t>
      </w:r>
      <w:r w:rsidR="00785C51" w:rsidRPr="00785C51">
        <w:rPr>
          <w:rFonts w:eastAsia="Calibri"/>
        </w:rPr>
        <w:t xml:space="preserve"> less than total accounting costs</w:t>
      </w:r>
      <w:r w:rsidR="00FC3597">
        <w:rPr>
          <w:rFonts w:eastAsia="Calibri"/>
        </w:rPr>
        <w:t xml:space="preserve"> in those years as in all other years</w:t>
      </w:r>
      <w:r w:rsidR="001C549E">
        <w:rPr>
          <w:rFonts w:eastAsia="Calibri"/>
        </w:rPr>
        <w:t>.</w:t>
      </w:r>
      <w:r w:rsidR="00FC3597">
        <w:rPr>
          <w:rFonts w:eastAsia="Calibri"/>
        </w:rPr>
        <w:t xml:space="preserve">  </w:t>
      </w:r>
      <w:r w:rsidR="00FC3597">
        <w:rPr>
          <w:rFonts w:eastAsia="Calibri"/>
          <w:i/>
          <w:iCs/>
        </w:rPr>
        <w:t xml:space="preserve">See </w:t>
      </w:r>
      <w:r w:rsidR="00FC3597">
        <w:rPr>
          <w:rFonts w:eastAsia="Calibri"/>
          <w:iCs/>
        </w:rPr>
        <w:t>Table II</w:t>
      </w:r>
      <w:r w:rsidR="00722A1A">
        <w:rPr>
          <w:rFonts w:eastAsia="Calibri"/>
          <w:iCs/>
        </w:rPr>
        <w:t xml:space="preserve">, </w:t>
      </w:r>
      <w:r w:rsidR="00722A1A">
        <w:rPr>
          <w:rFonts w:eastAsia="Calibri"/>
          <w:i/>
        </w:rPr>
        <w:t>supra</w:t>
      </w:r>
      <w:r w:rsidR="00FC3597">
        <w:rPr>
          <w:rFonts w:eastAsia="Calibri"/>
          <w:iCs/>
        </w:rPr>
        <w:t>.</w:t>
      </w:r>
      <w:r w:rsidR="001C549E">
        <w:rPr>
          <w:rFonts w:eastAsia="Calibri"/>
        </w:rPr>
        <w:t xml:space="preserve"> </w:t>
      </w:r>
      <w:r w:rsidR="00924F55">
        <w:rPr>
          <w:rFonts w:eastAsia="Calibri"/>
        </w:rPr>
        <w:t xml:space="preserve"> </w:t>
      </w:r>
      <w:r w:rsidR="00C34DA3">
        <w:rPr>
          <w:rFonts w:eastAsia="Calibri"/>
        </w:rPr>
        <w:t>T</w:t>
      </w:r>
      <w:r w:rsidR="00C34DA3" w:rsidRPr="00C34DA3">
        <w:rPr>
          <w:rFonts w:eastAsia="Calibri"/>
        </w:rPr>
        <w:t xml:space="preserve">he analytical principle setting accounting costs as the ceiling for </w:t>
      </w:r>
      <w:r w:rsidR="00F50FE7">
        <w:rPr>
          <w:rFonts w:eastAsia="Calibri"/>
        </w:rPr>
        <w:t>attributed</w:t>
      </w:r>
      <w:r w:rsidR="16D757E8" w:rsidRPr="051CDEBF">
        <w:rPr>
          <w:rFonts w:eastAsia="Calibri"/>
        </w:rPr>
        <w:t xml:space="preserve"> </w:t>
      </w:r>
      <w:r w:rsidR="00C34DA3" w:rsidRPr="051CDEBF">
        <w:rPr>
          <w:rFonts w:eastAsia="Calibri"/>
        </w:rPr>
        <w:t>economic</w:t>
      </w:r>
      <w:r w:rsidR="00C34DA3" w:rsidRPr="00C34DA3">
        <w:rPr>
          <w:rFonts w:eastAsia="Calibri"/>
        </w:rPr>
        <w:t xml:space="preserve"> costs</w:t>
      </w:r>
      <w:r w:rsidR="008F3878">
        <w:rPr>
          <w:rFonts w:eastAsia="Calibri"/>
        </w:rPr>
        <w:t xml:space="preserve"> </w:t>
      </w:r>
      <w:r w:rsidR="00BB6435">
        <w:rPr>
          <w:rFonts w:eastAsia="Calibri"/>
        </w:rPr>
        <w:t xml:space="preserve">was correctly applied </w:t>
      </w:r>
      <w:r w:rsidR="009B56AD">
        <w:rPr>
          <w:rFonts w:eastAsia="Calibri"/>
        </w:rPr>
        <w:t xml:space="preserve">in each year </w:t>
      </w:r>
      <w:r w:rsidR="7C2E7B6F" w:rsidRPr="3620B4B2">
        <w:rPr>
          <w:rFonts w:eastAsia="Calibri"/>
        </w:rPr>
        <w:t>because</w:t>
      </w:r>
      <w:r w:rsidR="00982AA4" w:rsidRPr="00982AA4">
        <w:rPr>
          <w:rFonts w:eastAsia="Calibri"/>
        </w:rPr>
        <w:t xml:space="preserve"> the attributable economic costs </w:t>
      </w:r>
      <w:r w:rsidR="3A5638A0" w:rsidRPr="009407B7">
        <w:rPr>
          <w:rFonts w:eastAsia="Calibri"/>
        </w:rPr>
        <w:t>did</w:t>
      </w:r>
      <w:r w:rsidR="00982AA4" w:rsidRPr="00982AA4">
        <w:rPr>
          <w:rFonts w:eastAsia="Calibri"/>
        </w:rPr>
        <w:t xml:space="preserve"> not exceed </w:t>
      </w:r>
      <w:r w:rsidR="00D442A5">
        <w:rPr>
          <w:rFonts w:eastAsia="Calibri"/>
        </w:rPr>
        <w:t xml:space="preserve">total </w:t>
      </w:r>
      <w:r w:rsidR="00982AA4" w:rsidRPr="00982AA4">
        <w:rPr>
          <w:rFonts w:eastAsia="Calibri"/>
        </w:rPr>
        <w:t>accounting costs</w:t>
      </w:r>
      <w:r w:rsidR="00F50FE7">
        <w:rPr>
          <w:rFonts w:eastAsia="Calibri"/>
        </w:rPr>
        <w:t xml:space="preserve"> despite</w:t>
      </w:r>
      <w:r w:rsidR="00D442A5">
        <w:rPr>
          <w:rFonts w:eastAsia="Calibri"/>
        </w:rPr>
        <w:t xml:space="preserve"> the</w:t>
      </w:r>
      <w:r w:rsidR="00F50FE7">
        <w:rPr>
          <w:rFonts w:eastAsia="Calibri"/>
        </w:rPr>
        <w:t xml:space="preserve"> </w:t>
      </w:r>
      <w:r w:rsidR="00C94EC0">
        <w:rPr>
          <w:rFonts w:eastAsia="Calibri"/>
        </w:rPr>
        <w:t>changes by Congress to the required payments</w:t>
      </w:r>
      <w:r w:rsidR="006D009F">
        <w:rPr>
          <w:rFonts w:eastAsia="Calibri"/>
        </w:rPr>
        <w:t xml:space="preserve"> in FY 2009 and FY 2011</w:t>
      </w:r>
      <w:r w:rsidR="00982AA4">
        <w:rPr>
          <w:rFonts w:eastAsia="Calibri"/>
        </w:rPr>
        <w:t>.</w:t>
      </w:r>
    </w:p>
    <w:p w14:paraId="09C680FA" w14:textId="7B944D9F" w:rsidR="00F32C38" w:rsidRPr="00611822" w:rsidRDefault="006427B8" w:rsidP="00611822">
      <w:pPr>
        <w:pStyle w:val="Heading2"/>
        <w:numPr>
          <w:ilvl w:val="0"/>
          <w:numId w:val="17"/>
        </w:numPr>
        <w:ind w:hanging="720"/>
      </w:pPr>
      <w:r w:rsidRPr="00611822">
        <w:t>The Process to Change Accepted Analytical Principle</w:t>
      </w:r>
      <w:r w:rsidR="000619CF" w:rsidRPr="00611822">
        <w:t>s</w:t>
      </w:r>
    </w:p>
    <w:p w14:paraId="214C39BD" w14:textId="28651A4A" w:rsidR="00403590" w:rsidRDefault="00E612EE" w:rsidP="00E550B4">
      <w:r>
        <w:t xml:space="preserve">The Mailers </w:t>
      </w:r>
      <w:r w:rsidR="0089537F">
        <w:t xml:space="preserve">request reconsideration </w:t>
      </w:r>
      <w:r w:rsidR="007D63F9">
        <w:t xml:space="preserve">of the requirement that they petition for a change in </w:t>
      </w:r>
      <w:r w:rsidR="00403590">
        <w:t>the accepted analytical principle</w:t>
      </w:r>
      <w:r w:rsidR="00CD2804">
        <w:t>s</w:t>
      </w:r>
      <w:r w:rsidR="00403590">
        <w:t xml:space="preserve"> </w:t>
      </w:r>
      <w:r w:rsidR="008D58C5">
        <w:t xml:space="preserve">because they </w:t>
      </w:r>
      <w:r w:rsidR="00974CE0">
        <w:t>assert that</w:t>
      </w:r>
      <w:r w:rsidR="00403590">
        <w:t xml:space="preserve"> it is the Postal Service, and not the Mailers, that wants to change the accepted analytical principle</w:t>
      </w:r>
      <w:r w:rsidR="00260EB9">
        <w:t>s</w:t>
      </w:r>
      <w:r w:rsidR="00403590">
        <w:t xml:space="preserve"> for FY 2022</w:t>
      </w:r>
      <w:r w:rsidR="003C6135">
        <w:t xml:space="preserve"> and thus should bear the burden of advocating for the change</w:t>
      </w:r>
      <w:r w:rsidR="00403590">
        <w:t xml:space="preserve">.  </w:t>
      </w:r>
      <w:r w:rsidR="0025446D">
        <w:t>Mailers’ Motion and Petition</w:t>
      </w:r>
      <w:r w:rsidR="00403590">
        <w:t xml:space="preserve"> at 9-10.</w:t>
      </w:r>
      <w:r w:rsidR="00917432">
        <w:t xml:space="preserve">  They further assert </w:t>
      </w:r>
      <w:r w:rsidR="00AE78D0">
        <w:t xml:space="preserve">that </w:t>
      </w:r>
      <w:r w:rsidR="003C6135">
        <w:t>th</w:t>
      </w:r>
      <w:r w:rsidR="00EB3939">
        <w:t xml:space="preserve">at Order No. 6363 was contradictory in finding </w:t>
      </w:r>
      <w:r w:rsidR="00E70932">
        <w:t>and accepting a change in analytical principle</w:t>
      </w:r>
      <w:r w:rsidR="00A46732">
        <w:t>s</w:t>
      </w:r>
      <w:r w:rsidR="00E70932">
        <w:t xml:space="preserve"> and saying the principle</w:t>
      </w:r>
      <w:r w:rsidR="00A46732">
        <w:t>s</w:t>
      </w:r>
      <w:r w:rsidR="00E70932">
        <w:t xml:space="preserve"> </w:t>
      </w:r>
      <w:r w:rsidR="00A46732">
        <w:t xml:space="preserve">were </w:t>
      </w:r>
      <w:r w:rsidR="00E303B3">
        <w:t xml:space="preserve">unchanged.  </w:t>
      </w:r>
      <w:r w:rsidR="00E303B3">
        <w:rPr>
          <w:i/>
          <w:iCs/>
        </w:rPr>
        <w:t>Id.</w:t>
      </w:r>
      <w:r w:rsidR="00E303B3">
        <w:t xml:space="preserve"> at 10.</w:t>
      </w:r>
    </w:p>
    <w:p w14:paraId="15FCC3DF" w14:textId="5AFAF2B6" w:rsidR="00E303B3" w:rsidRDefault="000363F9" w:rsidP="00E550B4">
      <w:r>
        <w:t>As a preliminary matter, the Commission notes that the Mailers appear to misread Order No. 6363.  Order No. 6363</w:t>
      </w:r>
      <w:r w:rsidR="00E24E7C">
        <w:t>’s primary objective</w:t>
      </w:r>
      <w:r w:rsidR="005D5949">
        <w:t>s</w:t>
      </w:r>
      <w:r w:rsidR="00743E97">
        <w:t xml:space="preserve"> w</w:t>
      </w:r>
      <w:r w:rsidR="009A0E5E">
        <w:t>ere</w:t>
      </w:r>
      <w:r w:rsidR="00743E97">
        <w:t xml:space="preserve"> to identify the current accepted analytical principles </w:t>
      </w:r>
      <w:r w:rsidR="00A05B8C">
        <w:t>applying to the</w:t>
      </w:r>
      <w:r w:rsidR="00743E97">
        <w:t xml:space="preserve"> costs at issue (including retiree </w:t>
      </w:r>
      <w:r w:rsidR="00743E97">
        <w:lastRenderedPageBreak/>
        <w:t>health benefit normal costs), find that those accepted analytical principles</w:t>
      </w:r>
      <w:r w:rsidR="00A05B8C">
        <w:t xml:space="preserve"> were the ones to be applied</w:t>
      </w:r>
      <w:r w:rsidR="00130074">
        <w:t xml:space="preserve"> for purposes of the FY 2022 ACR, </w:t>
      </w:r>
      <w:r w:rsidR="00A05B8C">
        <w:t xml:space="preserve">and </w:t>
      </w:r>
      <w:r w:rsidR="0064796B">
        <w:t xml:space="preserve">delineate </w:t>
      </w:r>
      <w:r w:rsidR="002B2F09">
        <w:t>a process for proposing changes to those analytical principles.</w:t>
      </w:r>
      <w:r w:rsidR="00923713">
        <w:t xml:space="preserve">  Order No. 6363 at 2</w:t>
      </w:r>
      <w:r w:rsidR="00FD0866">
        <w:t>, 10-11.</w:t>
      </w:r>
      <w:r w:rsidR="00D863A8">
        <w:t xml:space="preserve">  Order No. 6363 found that the current accepted analytical principle</w:t>
      </w:r>
      <w:r w:rsidR="0027199A">
        <w:t>s</w:t>
      </w:r>
      <w:r w:rsidR="00D863A8">
        <w:t xml:space="preserve"> </w:t>
      </w:r>
      <w:r w:rsidR="0027289B">
        <w:t xml:space="preserve">applying to the retiree health benefit normal costs </w:t>
      </w:r>
      <w:r w:rsidR="00296019">
        <w:t>do “not require inclusion of costs that are not incurred”</w:t>
      </w:r>
      <w:r w:rsidR="00D603B4">
        <w:t xml:space="preserve"> and that “under the accepted methodology, there are no . . . normal costs to account for in the Postal Service’s financial reporting for FY 2022.”  </w:t>
      </w:r>
      <w:r w:rsidR="00D603B4">
        <w:rPr>
          <w:i/>
          <w:iCs/>
        </w:rPr>
        <w:t>Id.</w:t>
      </w:r>
      <w:r w:rsidR="00D603B4">
        <w:t xml:space="preserve"> at 10.</w:t>
      </w:r>
      <w:r w:rsidR="00AC6756">
        <w:t xml:space="preserve">  </w:t>
      </w:r>
      <w:r w:rsidR="00826A31">
        <w:t>Thus, Order No. 6363 concluded</w:t>
      </w:r>
      <w:r w:rsidR="00AC6756">
        <w:t xml:space="preserve"> that “[i]</w:t>
      </w:r>
      <w:proofErr w:type="spellStart"/>
      <w:r w:rsidR="00AC6756">
        <w:t>ncluding</w:t>
      </w:r>
      <w:proofErr w:type="spellEnd"/>
      <w:r w:rsidR="00AC6756">
        <w:t xml:space="preserve"> such costs not incurred by the Postal Service would require a change in accepted methodology.”  </w:t>
      </w:r>
      <w:r w:rsidR="00AC6756">
        <w:rPr>
          <w:i/>
          <w:iCs/>
        </w:rPr>
        <w:t>Id.</w:t>
      </w:r>
      <w:r w:rsidR="00AC6756">
        <w:t xml:space="preserve">  Because </w:t>
      </w:r>
      <w:r w:rsidR="005E32DE">
        <w:t>the Commission found with respect to retiree health benefit normal costs that the accepted analytical principle</w:t>
      </w:r>
      <w:r w:rsidR="005A18AE">
        <w:t>s</w:t>
      </w:r>
      <w:r w:rsidR="005E32DE">
        <w:t xml:space="preserve"> </w:t>
      </w:r>
      <w:r w:rsidR="00FD78DC">
        <w:t xml:space="preserve">reflected the approach advocated by the Postal Service, and not the Mailers, the Commission further stated that </w:t>
      </w:r>
      <w:r w:rsidR="00B1182C">
        <w:t xml:space="preserve">“should the Mailers desire the Commission rely on a different analytical principle with regard to the . . . normal cost payments (which the Postal Service does not incur in FY 2022 or beyond), Mailers may petition the Commission for a change pursuant to 39 </w:t>
      </w:r>
      <w:r w:rsidR="005C0E33">
        <w:t xml:space="preserve">[CFR] part 3050.”  </w:t>
      </w:r>
      <w:r w:rsidR="005C0E33">
        <w:rPr>
          <w:i/>
          <w:iCs/>
        </w:rPr>
        <w:t>Id.</w:t>
      </w:r>
      <w:r w:rsidR="005C0E33">
        <w:t xml:space="preserve"> at 11.</w:t>
      </w:r>
    </w:p>
    <w:p w14:paraId="71B4CB6C" w14:textId="173409D9" w:rsidR="005C0E33" w:rsidRPr="008E6CE0" w:rsidRDefault="008E6CE0" w:rsidP="002E3197">
      <w:r>
        <w:t xml:space="preserve">The </w:t>
      </w:r>
      <w:r w:rsidR="001F4C6B">
        <w:t xml:space="preserve">application of the </w:t>
      </w:r>
      <w:r>
        <w:t>analytical principle</w:t>
      </w:r>
      <w:r w:rsidR="00C2469B">
        <w:t>s</w:t>
      </w:r>
      <w:r>
        <w:t xml:space="preserve"> described in Order No. 6363</w:t>
      </w:r>
      <w:r w:rsidR="007F3506">
        <w:t xml:space="preserve"> is consistent with the Commission’s elaboration on the current accepted analytical principle</w:t>
      </w:r>
      <w:r w:rsidR="00F13FAE">
        <w:t>s</w:t>
      </w:r>
      <w:r w:rsidR="007F3506">
        <w:t xml:space="preserve"> related to retiree health benefit normal costs discussed in Section IV.A., </w:t>
      </w:r>
      <w:r w:rsidR="007F3506">
        <w:rPr>
          <w:i/>
          <w:iCs/>
        </w:rPr>
        <w:t>supra</w:t>
      </w:r>
      <w:r>
        <w:t xml:space="preserve">.  Thus, </w:t>
      </w:r>
      <w:r w:rsidR="00264633">
        <w:t xml:space="preserve">the Mailers’ view that </w:t>
      </w:r>
      <w:r w:rsidR="00A37989">
        <w:t>FY 2022 retiree health benefit normal costs</w:t>
      </w:r>
      <w:r w:rsidR="00BA6B2A">
        <w:t xml:space="preserve"> should</w:t>
      </w:r>
      <w:r w:rsidR="00A37989">
        <w:t xml:space="preserve"> be treated as accrued</w:t>
      </w:r>
      <w:r w:rsidR="00A37989" w:rsidRPr="000576BB">
        <w:t xml:space="preserve"> </w:t>
      </w:r>
      <w:r w:rsidR="00A37989">
        <w:t>in FY 2022 and attributed to specific products</w:t>
      </w:r>
      <w:r w:rsidR="002E3197">
        <w:t xml:space="preserve"> </w:t>
      </w:r>
      <w:r w:rsidR="00401D27">
        <w:t>(despite the fact there are no accounting costs in FY 2022)</w:t>
      </w:r>
      <w:r w:rsidR="002E3197">
        <w:t xml:space="preserve"> reflects a change in accepted analytical principle</w:t>
      </w:r>
      <w:r w:rsidR="00BF48CF">
        <w:t>s</w:t>
      </w:r>
      <w:r w:rsidR="002E3197">
        <w:t>.  As referenced in Order No. 6363, the</w:t>
      </w:r>
      <w:r w:rsidR="00502910">
        <w:t xml:space="preserve"> Commission’s regulations</w:t>
      </w:r>
      <w:r w:rsidR="00CE0BD3">
        <w:t xml:space="preserve"> set forth a process</w:t>
      </w:r>
      <w:r w:rsidR="000E7E5E">
        <w:t xml:space="preserve"> for changing analytical principles, stating that “any interested person, including the Postal Service or a public representative, may submit a petition</w:t>
      </w:r>
      <w:r w:rsidR="00F44316">
        <w:t xml:space="preserve"> to the Commission to initiate [a proceeding to change an accepted analytical principle</w:t>
      </w:r>
      <w:r w:rsidR="008662CF">
        <w:t>].”  39 CFR 3050.11(a)</w:t>
      </w:r>
      <w:r w:rsidR="00D759EA">
        <w:t xml:space="preserve">; </w:t>
      </w:r>
      <w:r w:rsidR="00D759EA">
        <w:rPr>
          <w:i/>
          <w:iCs/>
        </w:rPr>
        <w:t xml:space="preserve">see </w:t>
      </w:r>
      <w:r w:rsidR="00D759EA">
        <w:t>39 U.S.C. 3652</w:t>
      </w:r>
      <w:r w:rsidR="0028128C">
        <w:t>(e)(2)</w:t>
      </w:r>
      <w:r w:rsidR="008662CF">
        <w:t>.</w:t>
      </w:r>
      <w:r w:rsidR="007559F0">
        <w:t xml:space="preserve">  Because it is the Mailers who desire </w:t>
      </w:r>
      <w:r w:rsidR="002B7BD0">
        <w:t xml:space="preserve">a change in </w:t>
      </w:r>
      <w:r w:rsidR="007942D4">
        <w:t xml:space="preserve">the </w:t>
      </w:r>
      <w:r w:rsidR="002B7BD0">
        <w:t>accepted analytical principle</w:t>
      </w:r>
      <w:r w:rsidR="007942D4">
        <w:t>s</w:t>
      </w:r>
      <w:r w:rsidR="002B7BD0">
        <w:t xml:space="preserve">, the Commission’s regulations and Order No. 6363 appropriately placed the burden to </w:t>
      </w:r>
      <w:r w:rsidR="00850B94">
        <w:t xml:space="preserve">petition and </w:t>
      </w:r>
      <w:r w:rsidR="002B7BD0">
        <w:t>advocate</w:t>
      </w:r>
      <w:r w:rsidR="00850B94">
        <w:t xml:space="preserve"> for</w:t>
      </w:r>
      <w:r w:rsidR="002B7BD0">
        <w:t xml:space="preserve"> such a change on the Mailers.</w:t>
      </w:r>
      <w:r w:rsidR="00394F10">
        <w:t xml:space="preserve">  In circumstances where it is the Postal Service that desires a change in </w:t>
      </w:r>
      <w:r w:rsidR="00420FA6">
        <w:t xml:space="preserve">the </w:t>
      </w:r>
      <w:r w:rsidR="00394F10">
        <w:lastRenderedPageBreak/>
        <w:t>accepted analytical principle</w:t>
      </w:r>
      <w:r w:rsidR="00BB1618">
        <w:t>s</w:t>
      </w:r>
      <w:r w:rsidR="005E51D9">
        <w:t>, the burden is on the Postal Service to propose and advocate for such a change.</w:t>
      </w:r>
      <w:r w:rsidR="005E51D9">
        <w:rPr>
          <w:rStyle w:val="FootnoteReference"/>
        </w:rPr>
        <w:footnoteReference w:id="25"/>
      </w:r>
    </w:p>
    <w:p w14:paraId="1173E421" w14:textId="11325B35" w:rsidR="00AB5692" w:rsidRDefault="001935E6" w:rsidP="000F4E58">
      <w:pPr>
        <w:pStyle w:val="Heading2"/>
        <w:numPr>
          <w:ilvl w:val="0"/>
          <w:numId w:val="17"/>
        </w:numPr>
        <w:ind w:hanging="720"/>
      </w:pPr>
      <w:r>
        <w:t>Other Arguments Raised by the Mailers</w:t>
      </w:r>
    </w:p>
    <w:p w14:paraId="53E1B680" w14:textId="6156B597" w:rsidR="00BD5A39" w:rsidRPr="00BD5A39" w:rsidRDefault="00EE2068" w:rsidP="00BD5A39">
      <w:r>
        <w:t>The</w:t>
      </w:r>
      <w:r w:rsidR="003E00F5">
        <w:t xml:space="preserve"> Mailers raise two other </w:t>
      </w:r>
      <w:r w:rsidR="0052788D">
        <w:t xml:space="preserve">arguments </w:t>
      </w:r>
      <w:r w:rsidR="0096740A">
        <w:t xml:space="preserve">that the Commission finds important to address at this juncture.  First, Mailers </w:t>
      </w:r>
      <w:r w:rsidR="000A4A05">
        <w:t>assert that failing to accrue and attribute retiree health benefit normal costs</w:t>
      </w:r>
      <w:r w:rsidR="00821F05">
        <w:t xml:space="preserve"> has “real world negative consequences.”  Mailers’ Motion and Petition at 8.  </w:t>
      </w:r>
      <w:r w:rsidR="007A6B43">
        <w:t xml:space="preserve">Specifically, the Mailers argue that failing to attribute these costs violates </w:t>
      </w:r>
      <w:r w:rsidR="00D02188">
        <w:t>the cost causation principles contained in the PAEA</w:t>
      </w:r>
      <w:r w:rsidR="000359AC">
        <w:t xml:space="preserve"> and would </w:t>
      </w:r>
      <w:r w:rsidR="00653BB5">
        <w:t xml:space="preserve">result in </w:t>
      </w:r>
      <w:r w:rsidR="00841CD3">
        <w:t xml:space="preserve">erroneous cost avoidances for workshare discounts, which would result in less efficient </w:t>
      </w:r>
      <w:r w:rsidR="009012C0">
        <w:t>workshare discounts</w:t>
      </w:r>
      <w:r w:rsidR="00841CD3">
        <w:t xml:space="preserve">.  </w:t>
      </w:r>
      <w:r w:rsidR="00715248">
        <w:rPr>
          <w:i/>
          <w:iCs/>
        </w:rPr>
        <w:t xml:space="preserve">Id. </w:t>
      </w:r>
      <w:r w:rsidR="00715248">
        <w:t xml:space="preserve">at </w:t>
      </w:r>
      <w:r w:rsidR="009012C0">
        <w:t>8-</w:t>
      </w:r>
      <w:r w:rsidR="00715248">
        <w:t xml:space="preserve">9.  </w:t>
      </w:r>
      <w:r w:rsidR="003E5380">
        <w:t>The Mailers point to workshare discounts in the FY</w:t>
      </w:r>
      <w:r w:rsidR="004151E9">
        <w:t> </w:t>
      </w:r>
      <w:r w:rsidR="003E5380">
        <w:t xml:space="preserve">2022 ACR as demonstrating this issue.  Mailers’ Reply Comments at </w:t>
      </w:r>
      <w:r w:rsidR="00CA16F3">
        <w:t>3-5.</w:t>
      </w:r>
      <w:r w:rsidR="00F87F33">
        <w:t xml:space="preserve">  PSA raises similar arguments.  PSA Response at 1</w:t>
      </w:r>
      <w:r w:rsidR="00EE76E3">
        <w:t>-3</w:t>
      </w:r>
      <w:r w:rsidR="00DE6412">
        <w:t>.</w:t>
      </w:r>
    </w:p>
    <w:p w14:paraId="21363D84" w14:textId="45E621C4" w:rsidR="00CA16F3" w:rsidRDefault="00FE04B2" w:rsidP="00BD5A39">
      <w:r>
        <w:t>The Commission notes</w:t>
      </w:r>
      <w:r w:rsidR="00095362">
        <w:t xml:space="preserve"> that even if one were to accept the Mailers’ analysis</w:t>
      </w:r>
      <w:r w:rsidR="00364D30">
        <w:t xml:space="preserve"> as true</w:t>
      </w:r>
      <w:r w:rsidR="00095362">
        <w:t xml:space="preserve">, </w:t>
      </w:r>
      <w:r w:rsidR="00D06B65">
        <w:t xml:space="preserve">it would not change what </w:t>
      </w:r>
      <w:r w:rsidR="005A67B7">
        <w:t xml:space="preserve">the </w:t>
      </w:r>
      <w:r w:rsidR="00D06B65">
        <w:t xml:space="preserve">accepted </w:t>
      </w:r>
      <w:r w:rsidR="005A67B7">
        <w:t>analytical principle</w:t>
      </w:r>
      <w:r w:rsidR="00E82C4F">
        <w:t>s</w:t>
      </w:r>
      <w:r w:rsidR="005A67B7">
        <w:t xml:space="preserve"> </w:t>
      </w:r>
      <w:r w:rsidR="008A70F0">
        <w:t xml:space="preserve">currently </w:t>
      </w:r>
      <w:r w:rsidR="00E82C4F">
        <w:t>are</w:t>
      </w:r>
      <w:r w:rsidR="00D06B65">
        <w:t xml:space="preserve"> (as described in Section IV.A., </w:t>
      </w:r>
      <w:r w:rsidR="00D06B65">
        <w:rPr>
          <w:i/>
          <w:iCs/>
        </w:rPr>
        <w:t>supra</w:t>
      </w:r>
      <w:r w:rsidR="00D06B65">
        <w:t>)</w:t>
      </w:r>
      <w:r w:rsidR="005055B6">
        <w:t xml:space="preserve"> and thus does not influence the Commission’s conclusions related to the Mailers’ request for reconsideration of Order No. 6363</w:t>
      </w:r>
      <w:r w:rsidR="00D06B65">
        <w:t xml:space="preserve">.  </w:t>
      </w:r>
      <w:r w:rsidR="00950DFC">
        <w:t xml:space="preserve">Instead, this argument </w:t>
      </w:r>
      <w:r w:rsidR="009449B2">
        <w:t>relates to whether the current accepted analytical principle</w:t>
      </w:r>
      <w:r w:rsidR="00F20B8F">
        <w:t>s</w:t>
      </w:r>
      <w:r w:rsidR="001F52D6">
        <w:t xml:space="preserve"> should be changed and how </w:t>
      </w:r>
      <w:r w:rsidR="00F20B8F">
        <w:t xml:space="preserve">they </w:t>
      </w:r>
      <w:r w:rsidR="004638D3">
        <w:t xml:space="preserve">may, from the </w:t>
      </w:r>
      <w:r w:rsidR="00BD4FB1">
        <w:t>M</w:t>
      </w:r>
      <w:r w:rsidR="004638D3">
        <w:t>ailers’ perspective,</w:t>
      </w:r>
      <w:r w:rsidR="001F52D6">
        <w:t xml:space="preserve"> be improved.  </w:t>
      </w:r>
      <w:r w:rsidR="00FF4A80">
        <w:t>In accordance with 39 U.S.C. 3654(e)</w:t>
      </w:r>
      <w:r w:rsidR="005E05A9">
        <w:t>, accepted analytical principles</w:t>
      </w:r>
      <w:r w:rsidR="007B12DC">
        <w:t xml:space="preserve"> may be changed “to improve the quality, accuracy, or completeness of Postal Service data </w:t>
      </w:r>
      <w:r w:rsidR="00251FE8">
        <w:t>. . . whenever it shall appear that</w:t>
      </w:r>
      <w:proofErr w:type="gramStart"/>
      <w:r w:rsidR="00251FE8">
        <w:t>—(</w:t>
      </w:r>
      <w:proofErr w:type="gramEnd"/>
      <w:r w:rsidR="00251FE8">
        <w:t xml:space="preserve">1) the data have become significantly inaccurate or can be significantly improved; or </w:t>
      </w:r>
      <w:r w:rsidR="00015C1C">
        <w:t>(2) those revisions are, in the judgment of the Commission, otherwise necessitated by the public interest.”  39 U.S.C. 3654(e).</w:t>
      </w:r>
      <w:r w:rsidR="00364D30">
        <w:t xml:space="preserve">  Because the Commission </w:t>
      </w:r>
      <w:r w:rsidR="00394D7F">
        <w:t xml:space="preserve">will consider </w:t>
      </w:r>
      <w:r w:rsidR="00E60310">
        <w:t xml:space="preserve">whether to adopt </w:t>
      </w:r>
      <w:r w:rsidR="00394D7F">
        <w:t>NPPC et al. Proposal One</w:t>
      </w:r>
      <w:r w:rsidR="00E60310">
        <w:t xml:space="preserve"> as new accepted analytical principle</w:t>
      </w:r>
      <w:r w:rsidR="00175441">
        <w:t>s</w:t>
      </w:r>
      <w:r w:rsidR="00E60310">
        <w:t xml:space="preserve">, the Commission </w:t>
      </w:r>
      <w:r w:rsidR="00C91F15">
        <w:t>plans to</w:t>
      </w:r>
      <w:r w:rsidR="00E60310">
        <w:t xml:space="preserve"> consider the Mailers’ arguments </w:t>
      </w:r>
      <w:r w:rsidR="0099049F">
        <w:t xml:space="preserve">that their </w:t>
      </w:r>
      <w:r w:rsidR="0099049F">
        <w:lastRenderedPageBreak/>
        <w:t xml:space="preserve">approach better aligns with the PAEA and </w:t>
      </w:r>
      <w:r w:rsidR="000A471A">
        <w:t>will result in more accurate costing for workshare discounts</w:t>
      </w:r>
      <w:r w:rsidR="00C91F15">
        <w:t xml:space="preserve"> in conjunction with its consideration of NPPC et al. Proposal One.</w:t>
      </w:r>
      <w:r w:rsidR="00E60310">
        <w:t xml:space="preserve"> </w:t>
      </w:r>
      <w:r w:rsidR="00A422E8">
        <w:t xml:space="preserve"> </w:t>
      </w:r>
      <w:r w:rsidR="00A422E8">
        <w:rPr>
          <w:i/>
          <w:iCs/>
        </w:rPr>
        <w:t xml:space="preserve">See </w:t>
      </w:r>
      <w:r w:rsidR="00A422E8">
        <w:t xml:space="preserve">Section V., </w:t>
      </w:r>
      <w:r w:rsidR="00A422E8">
        <w:rPr>
          <w:i/>
          <w:iCs/>
        </w:rPr>
        <w:t>infra.</w:t>
      </w:r>
    </w:p>
    <w:p w14:paraId="23DDB2B4" w14:textId="54D89FD7" w:rsidR="005159AC" w:rsidRDefault="005159AC" w:rsidP="00BD5A39">
      <w:r>
        <w:t xml:space="preserve">Second, </w:t>
      </w:r>
      <w:r w:rsidR="00191D26">
        <w:t>the Mailers</w:t>
      </w:r>
      <w:r w:rsidR="005F05DD">
        <w:t>, PSA,</w:t>
      </w:r>
      <w:r w:rsidR="00191D26">
        <w:t xml:space="preserve"> and the Postal Service </w:t>
      </w:r>
      <w:r w:rsidR="009E61D8">
        <w:t xml:space="preserve">have significant disagreement over </w:t>
      </w:r>
      <w:r w:rsidR="004077EC">
        <w:t>how</w:t>
      </w:r>
      <w:r w:rsidR="008E5A41">
        <w:t xml:space="preserve"> </w:t>
      </w:r>
      <w:r w:rsidR="009E61D8">
        <w:t>the PSRA</w:t>
      </w:r>
      <w:r w:rsidR="004077EC">
        <w:t xml:space="preserve"> affected</w:t>
      </w:r>
      <w:r w:rsidR="007A3E0D">
        <w:t xml:space="preserve"> whether </w:t>
      </w:r>
      <w:r w:rsidR="001D2B31">
        <w:t>retiree health benefit normal costs should be accrued and attributed in FY 2022.</w:t>
      </w:r>
      <w:r w:rsidR="009F58D1">
        <w:rPr>
          <w:rStyle w:val="FootnoteReference"/>
        </w:rPr>
        <w:footnoteReference w:id="26"/>
      </w:r>
      <w:r w:rsidR="002D7387">
        <w:t xml:space="preserve">  </w:t>
      </w:r>
      <w:r w:rsidR="002B57CF">
        <w:t xml:space="preserve">Specifically, the Mailers argue that the PSRA had no effect on </w:t>
      </w:r>
      <w:r w:rsidR="00314DD6">
        <w:t>economic costs related to retiree health benefit normal costs</w:t>
      </w:r>
      <w:r w:rsidR="00E53D3D">
        <w:t>,</w:t>
      </w:r>
      <w:r w:rsidR="00314DD6">
        <w:t xml:space="preserve"> and </w:t>
      </w:r>
      <w:r w:rsidR="00426BFA">
        <w:t>because those costs still exist, they should continue to be attributed as they have been in the past.  Mailers’ Motion and Petition at</w:t>
      </w:r>
      <w:r w:rsidR="00480445">
        <w:t> </w:t>
      </w:r>
      <w:r w:rsidR="00426BFA">
        <w:t>11-</w:t>
      </w:r>
      <w:r w:rsidR="003535D8">
        <w:t>12</w:t>
      </w:r>
      <w:r w:rsidR="005B6717">
        <w:t>; Mailers’ Reply Comments at 2-3.</w:t>
      </w:r>
    </w:p>
    <w:p w14:paraId="3BDA9912" w14:textId="3091B2AC" w:rsidR="00E53D3D" w:rsidRPr="0051280B" w:rsidRDefault="00E53D3D" w:rsidP="000F4E58">
      <w:pPr>
        <w:rPr>
          <w:i/>
          <w:iCs/>
        </w:rPr>
      </w:pPr>
      <w:r>
        <w:t xml:space="preserve">There is no dispute that the economic costs of retiree health benefit normal costs exist in FY 2022 as they have in prior years.  </w:t>
      </w:r>
      <w:r w:rsidR="00C75D1F">
        <w:t xml:space="preserve">However, as explained in Section IV.A., the PSRA changed </w:t>
      </w:r>
      <w:r w:rsidR="00FF64A6">
        <w:t xml:space="preserve">whether there were any retiree health benefit accounting costs due and payable in FY 2022.  </w:t>
      </w:r>
      <w:r w:rsidR="00527DD7">
        <w:t xml:space="preserve">Due to the PSRA, there were zero accounting costs related to retiree health benefits in FY 2022, and </w:t>
      </w:r>
      <w:r w:rsidR="006B5817">
        <w:t>under the current accepted analytical principle</w:t>
      </w:r>
      <w:r w:rsidR="00A369B5">
        <w:t>s</w:t>
      </w:r>
      <w:r w:rsidR="006B5817">
        <w:t xml:space="preserve">, with no accounting costs incurred in FY 2022, </w:t>
      </w:r>
      <w:r w:rsidR="0051280B">
        <w:t>there is no basis for attributing retiree health benefit normal costs</w:t>
      </w:r>
      <w:r w:rsidR="003134E8">
        <w:t xml:space="preserve"> in FY 2022</w:t>
      </w:r>
      <w:r w:rsidR="0051280B">
        <w:t xml:space="preserve">.  </w:t>
      </w:r>
      <w:r w:rsidR="0051280B">
        <w:rPr>
          <w:i/>
          <w:iCs/>
        </w:rPr>
        <w:t xml:space="preserve">See </w:t>
      </w:r>
      <w:r w:rsidR="0051280B">
        <w:t xml:space="preserve">Section IV.A., </w:t>
      </w:r>
      <w:r w:rsidR="0051280B">
        <w:rPr>
          <w:i/>
          <w:iCs/>
        </w:rPr>
        <w:t>supra.</w:t>
      </w:r>
    </w:p>
    <w:p w14:paraId="5F69B264" w14:textId="5DBEC519" w:rsidR="00F71034" w:rsidRPr="000F4E58" w:rsidRDefault="007C2D3E" w:rsidP="000F4E58">
      <w:pPr>
        <w:pStyle w:val="Heading2"/>
      </w:pPr>
      <w:r w:rsidRPr="000F4E58">
        <w:t>Conclusion</w:t>
      </w:r>
    </w:p>
    <w:p w14:paraId="0FFBC879" w14:textId="72C496B9" w:rsidR="00AB0016" w:rsidRDefault="0091772D" w:rsidP="00ED15A7">
      <w:r>
        <w:t>The primary basis of the Mailers’ request for reconsideration of Order No. 6363 is that the Commission erred in determining that the current accepted analytical principle</w:t>
      </w:r>
      <w:r w:rsidR="00151E1F">
        <w:t>s</w:t>
      </w:r>
      <w:r>
        <w:t xml:space="preserve"> </w:t>
      </w:r>
      <w:r w:rsidR="00F61ADD">
        <w:t xml:space="preserve">do </w:t>
      </w:r>
      <w:r>
        <w:t xml:space="preserve">not require retiree health benefit normal costs </w:t>
      </w:r>
      <w:r w:rsidR="00342C56">
        <w:t xml:space="preserve">to </w:t>
      </w:r>
      <w:r>
        <w:t>be treated as accrued</w:t>
      </w:r>
      <w:r w:rsidR="00A0100C">
        <w:t xml:space="preserve"> and attributed to </w:t>
      </w:r>
      <w:r w:rsidR="00EC0C22">
        <w:t>products</w:t>
      </w:r>
      <w:r>
        <w:t xml:space="preserve"> in FY 2022.  Mailers’ Motion and Petition at 1.  </w:t>
      </w:r>
      <w:r w:rsidR="009549C6">
        <w:t>As discussed in</w:t>
      </w:r>
      <w:r w:rsidR="00A93EF1">
        <w:t xml:space="preserve"> Order No.</w:t>
      </w:r>
      <w:r w:rsidR="00D04CA5">
        <w:t> </w:t>
      </w:r>
      <w:r w:rsidR="00A93EF1">
        <w:t>6363 and</w:t>
      </w:r>
      <w:r w:rsidR="009549C6">
        <w:t xml:space="preserve"> Section </w:t>
      </w:r>
      <w:r w:rsidR="00966704">
        <w:t xml:space="preserve">IV.A., </w:t>
      </w:r>
      <w:r w:rsidR="00966704">
        <w:rPr>
          <w:i/>
          <w:iCs/>
        </w:rPr>
        <w:t>supra</w:t>
      </w:r>
      <w:r w:rsidR="00966704">
        <w:t>,</w:t>
      </w:r>
      <w:r w:rsidR="00AC6452">
        <w:t xml:space="preserve"> the</w:t>
      </w:r>
      <w:r w:rsidR="00BB4722">
        <w:t xml:space="preserve"> </w:t>
      </w:r>
      <w:r w:rsidR="4C8DD762">
        <w:t xml:space="preserve">Commission finds that the </w:t>
      </w:r>
      <w:r w:rsidR="00BB4722">
        <w:t>Mailers’ view of the current accepted analytical principle</w:t>
      </w:r>
      <w:r w:rsidR="002977BD">
        <w:t>s</w:t>
      </w:r>
      <w:r w:rsidR="00BB4722">
        <w:t xml:space="preserve"> is incorrect.  </w:t>
      </w:r>
      <w:r w:rsidR="007159D7">
        <w:t xml:space="preserve">Thus, the Commission denies the Mailers’ Motion and Petition </w:t>
      </w:r>
      <w:proofErr w:type="gramStart"/>
      <w:r w:rsidR="007159D7">
        <w:t>with regard to</w:t>
      </w:r>
      <w:proofErr w:type="gramEnd"/>
      <w:r w:rsidR="007159D7">
        <w:t xml:space="preserve"> the request for reconsideration of Order No.</w:t>
      </w:r>
      <w:r w:rsidR="00D04CA5">
        <w:t> </w:t>
      </w:r>
      <w:r w:rsidR="007159D7">
        <w:t>6363.</w:t>
      </w:r>
    </w:p>
    <w:p w14:paraId="7A9C3934" w14:textId="10DA7B77" w:rsidR="00ED15A7" w:rsidRPr="002C5CEE" w:rsidRDefault="007159D7" w:rsidP="00ED15A7">
      <w:pPr>
        <w:rPr>
          <w:i/>
          <w:iCs/>
        </w:rPr>
      </w:pPr>
      <w:r>
        <w:lastRenderedPageBreak/>
        <w:t>In the alternative to granting reconsideration</w:t>
      </w:r>
      <w:r w:rsidR="00C76679">
        <w:t xml:space="preserve"> in their favor</w:t>
      </w:r>
      <w:r>
        <w:t>, the Mailers</w:t>
      </w:r>
      <w:r w:rsidR="00C76679">
        <w:t xml:space="preserve"> request that </w:t>
      </w:r>
      <w:r w:rsidR="00C75FBE">
        <w:t>the Commission initiate a rulemaking proceeding and determine in that proceeding that retiree health benefit normal costs</w:t>
      </w:r>
      <w:r w:rsidR="005D1DDD">
        <w:t xml:space="preserve"> should</w:t>
      </w:r>
      <w:r w:rsidR="00C75FBE">
        <w:t xml:space="preserve"> </w:t>
      </w:r>
      <w:r w:rsidR="00CD11EB">
        <w:t>be treated as accrued</w:t>
      </w:r>
      <w:r w:rsidR="00542E53">
        <w:t xml:space="preserve"> and attributed to products</w:t>
      </w:r>
      <w:r w:rsidR="00CD11EB">
        <w:t xml:space="preserve"> in Docket No. ACR2022 (which will culminate in the FY 2022 ACD).</w:t>
      </w:r>
      <w:r w:rsidR="001708EE">
        <w:t xml:space="preserve">  The Commission</w:t>
      </w:r>
      <w:r w:rsidR="002C5CEE">
        <w:t xml:space="preserve"> grants the request</w:t>
      </w:r>
      <w:r w:rsidR="001708EE">
        <w:t xml:space="preserve"> </w:t>
      </w:r>
      <w:r w:rsidR="002C5CEE">
        <w:t>to consider the Mailers’ petition to change the analytical principle</w:t>
      </w:r>
      <w:r w:rsidR="00A56944">
        <w:t>s</w:t>
      </w:r>
      <w:r w:rsidR="002C5CEE">
        <w:t xml:space="preserve"> applied to the FY 2022 retiree health benefit normal costs and provides notice of the proposed rulemaking in Section V., </w:t>
      </w:r>
      <w:r w:rsidR="002C5CEE">
        <w:rPr>
          <w:i/>
          <w:iCs/>
        </w:rPr>
        <w:t>infra.</w:t>
      </w:r>
    </w:p>
    <w:p w14:paraId="73B4D01C" w14:textId="715C8CE3" w:rsidR="00267393" w:rsidRDefault="71CCCDF5" w:rsidP="00745110">
      <w:pPr>
        <w:pStyle w:val="Heading1"/>
      </w:pPr>
      <w:r>
        <w:t>V.</w:t>
      </w:r>
      <w:r>
        <w:tab/>
      </w:r>
      <w:r w:rsidR="00BA77A7">
        <w:t>NOTICE OF PROPOSED RULEMAKING ON ANALYTICAL PRINCIPLES USED IN PERIODIC REPORTING (NPPC ET AL. PROPOSAL ONE)</w:t>
      </w:r>
    </w:p>
    <w:p w14:paraId="34D4370F" w14:textId="6E8169BD" w:rsidR="00B82B69" w:rsidRDefault="00B82B69" w:rsidP="00745110">
      <w:pPr>
        <w:pStyle w:val="Heading2"/>
        <w:numPr>
          <w:ilvl w:val="0"/>
          <w:numId w:val="19"/>
        </w:numPr>
        <w:ind w:hanging="720"/>
      </w:pPr>
      <w:r>
        <w:t>NPPC et al. Proposal One</w:t>
      </w:r>
    </w:p>
    <w:p w14:paraId="12048988" w14:textId="5DDC2482" w:rsidR="002B5DFE" w:rsidRDefault="007268B6" w:rsidP="009B75C2">
      <w:r>
        <w:t xml:space="preserve">On December </w:t>
      </w:r>
      <w:r w:rsidR="009E649A">
        <w:t>19, 2022, the Mailers requested that the Commission initiate a rulemaking proceeding to consider a change in analytical pri</w:t>
      </w:r>
      <w:r w:rsidR="00FE0761">
        <w:t xml:space="preserve">nciples if the Commission denied their motion for reconsideration.  </w:t>
      </w:r>
      <w:r w:rsidR="00A318AA">
        <w:rPr>
          <w:i/>
          <w:iCs/>
        </w:rPr>
        <w:t xml:space="preserve">See </w:t>
      </w:r>
      <w:r w:rsidR="00A318AA">
        <w:t xml:space="preserve">Mailers’ Motion and Petition at 2.  </w:t>
      </w:r>
      <w:r w:rsidR="008616E7">
        <w:t>The Commission has designated the proposed change</w:t>
      </w:r>
      <w:r w:rsidR="00151E43">
        <w:t xml:space="preserve"> in analytical principle</w:t>
      </w:r>
      <w:r w:rsidR="007B1E31">
        <w:t>s</w:t>
      </w:r>
      <w:r w:rsidR="008616E7">
        <w:t xml:space="preserve"> as NPPC et al. Proposal One.</w:t>
      </w:r>
      <w:r w:rsidR="0060706B">
        <w:t xml:space="preserve">  Order No. 6382 at 2 n.2.  </w:t>
      </w:r>
      <w:r w:rsidR="0048024F">
        <w:t>NPPC et al. Proposal One proposes that</w:t>
      </w:r>
      <w:r w:rsidR="004739D0">
        <w:t xml:space="preserve"> FY 2022</w:t>
      </w:r>
      <w:r w:rsidR="0048024F">
        <w:t xml:space="preserve"> retiree health benefit normal costs </w:t>
      </w:r>
      <w:r w:rsidR="000576BB">
        <w:t>be treated as accrued</w:t>
      </w:r>
      <w:r w:rsidR="000576BB" w:rsidRPr="000576BB">
        <w:t xml:space="preserve"> </w:t>
      </w:r>
      <w:r w:rsidR="000576BB">
        <w:t xml:space="preserve">in FY 2022 and </w:t>
      </w:r>
      <w:r w:rsidR="00AE301D">
        <w:t>attributed to specific products to the same “degree as composite labor costs</w:t>
      </w:r>
      <w:r w:rsidR="000576BB">
        <w:t>.</w:t>
      </w:r>
      <w:r w:rsidR="00AE301D">
        <w:t>”</w:t>
      </w:r>
      <w:r w:rsidR="000576BB">
        <w:t xml:space="preserve">  Mailers’ Motion and Petition at 1</w:t>
      </w:r>
      <w:r w:rsidR="00AB7773">
        <w:t>, 5, 13</w:t>
      </w:r>
      <w:r w:rsidR="000576BB">
        <w:t>.</w:t>
      </w:r>
    </w:p>
    <w:p w14:paraId="75C26C78" w14:textId="10836376" w:rsidR="009B75C2" w:rsidRPr="00C94730" w:rsidRDefault="008D1A29" w:rsidP="009B75C2">
      <w:pPr>
        <w:rPr>
          <w:i/>
          <w:iCs/>
        </w:rPr>
      </w:pPr>
      <w:r>
        <w:t>The Mailers assert that treating retiree health benefit normal costs as accrued each year</w:t>
      </w:r>
      <w:r w:rsidR="00294F03">
        <w:t xml:space="preserve"> and attributing them would improve the quality, accuracy, and completeness of the data in the Postal Service’s periodic reports when compared to </w:t>
      </w:r>
      <w:r w:rsidR="00090EF0">
        <w:t>the current analytical principle</w:t>
      </w:r>
      <w:r w:rsidR="00054664">
        <w:t>s</w:t>
      </w:r>
      <w:r w:rsidR="00090EF0">
        <w:t xml:space="preserve">.  </w:t>
      </w:r>
      <w:r w:rsidR="00090EF0">
        <w:rPr>
          <w:i/>
          <w:iCs/>
        </w:rPr>
        <w:t>Id.</w:t>
      </w:r>
      <w:r w:rsidR="00090EF0">
        <w:t xml:space="preserve"> at 16.</w:t>
      </w:r>
      <w:r w:rsidR="002027F0">
        <w:t xml:space="preserve">  The Mailers further assert that accruing and attributing retiree health benefit normal costs in the year in which they are earned </w:t>
      </w:r>
      <w:r w:rsidR="00B15E8F">
        <w:t xml:space="preserve">“is consistent with economic cost accounting” as these normal costs “are a component of the economic cost of postal work.”  </w:t>
      </w:r>
      <w:r w:rsidR="00B15E8F">
        <w:rPr>
          <w:i/>
          <w:iCs/>
        </w:rPr>
        <w:t>Id.</w:t>
      </w:r>
      <w:r w:rsidR="00B15E8F">
        <w:t xml:space="preserve">  </w:t>
      </w:r>
      <w:r w:rsidR="00A667E3">
        <w:t xml:space="preserve">The Mailers claim that from a practical perspective, NPPC et al. Proposal One </w:t>
      </w:r>
      <w:r w:rsidR="00A66EC8">
        <w:t>is preferable because excluding retiree health benefit normal costs would result in inaccurate cost avoidance estimates, which w</w:t>
      </w:r>
      <w:r w:rsidR="00106362">
        <w:t>ould</w:t>
      </w:r>
      <w:r w:rsidR="001A48CA">
        <w:t>,</w:t>
      </w:r>
      <w:r w:rsidR="00A66EC8">
        <w:t xml:space="preserve"> in turn</w:t>
      </w:r>
      <w:r w:rsidR="001A48CA">
        <w:t>,</w:t>
      </w:r>
      <w:r w:rsidR="00A66EC8">
        <w:t xml:space="preserve"> result in inaccurate compliance determination</w:t>
      </w:r>
      <w:r w:rsidR="00EF6C10">
        <w:t>s</w:t>
      </w:r>
      <w:r w:rsidR="002B5DFE">
        <w:t xml:space="preserve"> with respect to workshare discounts.  </w:t>
      </w:r>
      <w:r w:rsidR="002B5DFE">
        <w:rPr>
          <w:i/>
          <w:iCs/>
        </w:rPr>
        <w:t>Id.</w:t>
      </w:r>
      <w:r w:rsidR="002B5DFE">
        <w:t xml:space="preserve"> </w:t>
      </w:r>
      <w:r w:rsidR="002B5DFE">
        <w:lastRenderedPageBreak/>
        <w:t>at</w:t>
      </w:r>
      <w:r w:rsidR="00D159A3">
        <w:t> </w:t>
      </w:r>
      <w:r w:rsidR="002B5DFE">
        <w:t>16</w:t>
      </w:r>
      <w:r w:rsidR="00D65332">
        <w:noBreakHyphen/>
      </w:r>
      <w:r w:rsidR="002B5DFE">
        <w:t>17.</w:t>
      </w:r>
      <w:r w:rsidR="00102235">
        <w:t xml:space="preserve">  The Mailers assert that this harm would not </w:t>
      </w:r>
      <w:r w:rsidR="004056C0">
        <w:t xml:space="preserve">just occur in FY </w:t>
      </w:r>
      <w:proofErr w:type="gramStart"/>
      <w:r w:rsidR="004056C0">
        <w:t>2022, but</w:t>
      </w:r>
      <w:proofErr w:type="gramEnd"/>
      <w:r w:rsidR="004056C0">
        <w:t xml:space="preserve"> would result in future distortions in workshare discounts even if the </w:t>
      </w:r>
      <w:r w:rsidR="00330D83">
        <w:t xml:space="preserve">treatment of normal costs changed in the future.  </w:t>
      </w:r>
      <w:r w:rsidR="00330D83">
        <w:rPr>
          <w:i/>
          <w:iCs/>
        </w:rPr>
        <w:t>Id.</w:t>
      </w:r>
      <w:r w:rsidR="00330D83">
        <w:t xml:space="preserve"> at 17.  </w:t>
      </w:r>
      <w:r w:rsidR="009C4E68">
        <w:t>The Mailers also state that “the categorical exclusion of select costs would also erode the accuracy of the Commission’s compliance findings with re</w:t>
      </w:r>
      <w:r w:rsidR="00C94730">
        <w:t xml:space="preserve">spect to . . . competitive products.”  </w:t>
      </w:r>
      <w:r w:rsidR="00C94730">
        <w:rPr>
          <w:i/>
          <w:iCs/>
        </w:rPr>
        <w:t>Id.</w:t>
      </w:r>
    </w:p>
    <w:p w14:paraId="0A08B32E" w14:textId="73ABE250" w:rsidR="00454B68" w:rsidRPr="003C4627" w:rsidRDefault="00454B68" w:rsidP="009B75C2">
      <w:r>
        <w:t xml:space="preserve">The Mailers state the NPPC et al. Proposal One </w:t>
      </w:r>
      <w:r w:rsidR="00EC0B44">
        <w:t>“is fully consistent with the legal standard that attributable costs are ‘the direct and indirect postal costs attributable to each class or type of mail service through reliably identified causal relationships</w:t>
      </w:r>
      <w:r w:rsidR="00204793">
        <w:t xml:space="preserve">.’”  </w:t>
      </w:r>
      <w:r w:rsidR="00204793">
        <w:rPr>
          <w:i/>
          <w:iCs/>
        </w:rPr>
        <w:t>Id.</w:t>
      </w:r>
      <w:r w:rsidR="00204793">
        <w:t xml:space="preserve"> (</w:t>
      </w:r>
      <w:r w:rsidR="00985848">
        <w:t>quoting</w:t>
      </w:r>
      <w:r w:rsidR="00204793">
        <w:t xml:space="preserve"> 39 U.S.C</w:t>
      </w:r>
      <w:r w:rsidR="006E3BED">
        <w:t>.</w:t>
      </w:r>
      <w:r w:rsidR="00204793">
        <w:t xml:space="preserve"> 3622(c)(2)</w:t>
      </w:r>
      <w:r w:rsidR="00985848">
        <w:t>).</w:t>
      </w:r>
      <w:r w:rsidR="00FD3A83">
        <w:t xml:space="preserve">  They assert that </w:t>
      </w:r>
      <w:r w:rsidR="00890B1A">
        <w:t>“[</w:t>
      </w:r>
      <w:r w:rsidR="00FD3A83">
        <w:t>e</w:t>
      </w:r>
      <w:r w:rsidR="00890B1A">
        <w:t>]</w:t>
      </w:r>
      <w:proofErr w:type="spellStart"/>
      <w:r w:rsidR="00FD3A83">
        <w:t>arned</w:t>
      </w:r>
      <w:proofErr w:type="spellEnd"/>
      <w:r w:rsidR="00FD3A83">
        <w:t xml:space="preserve"> </w:t>
      </w:r>
      <w:r w:rsidR="00890B1A">
        <w:t>[</w:t>
      </w:r>
      <w:r w:rsidR="00FD3A83">
        <w:t>retiree health benefit</w:t>
      </w:r>
      <w:r w:rsidR="00890B1A">
        <w:t>]</w:t>
      </w:r>
      <w:r w:rsidR="00FD3A83">
        <w:t xml:space="preserve"> costs </w:t>
      </w:r>
      <w:r w:rsidR="00890B1A">
        <w:t xml:space="preserve">plainly satisfy that </w:t>
      </w:r>
      <w:proofErr w:type="gramStart"/>
      <w:r w:rsidR="00890B1A">
        <w:t>standard, and</w:t>
      </w:r>
      <w:proofErr w:type="gramEnd"/>
      <w:r w:rsidR="00890B1A">
        <w:t xml:space="preserve"> attributing them improves the quality of postal accounting by making it more consistent with statutory requirements.”  </w:t>
      </w:r>
      <w:r w:rsidR="002B46A5">
        <w:rPr>
          <w:i/>
          <w:iCs/>
        </w:rPr>
        <w:t>Id.</w:t>
      </w:r>
      <w:r w:rsidR="002B46A5">
        <w:t xml:space="preserve">  </w:t>
      </w:r>
      <w:r w:rsidR="001A63B1">
        <w:t xml:space="preserve">The Mailers state that according </w:t>
      </w:r>
      <w:r w:rsidR="00B93C29">
        <w:t xml:space="preserve">to </w:t>
      </w:r>
      <w:r w:rsidR="001A63B1">
        <w:t>the Postal Service’s FY 2022 10-K, retiree health benefit normal costs were $4.4 billion</w:t>
      </w:r>
      <w:r w:rsidR="005451F6">
        <w:t xml:space="preserve"> in FY 2022</w:t>
      </w:r>
      <w:r w:rsidR="00B93C29">
        <w:t>, and that “proper treatment of these costs would increase attributable costs by approximately $2.6</w:t>
      </w:r>
      <w:r w:rsidR="008A2524">
        <w:t xml:space="preserve"> billion</w:t>
      </w:r>
      <w:r w:rsidR="00762A8C">
        <w:t xml:space="preserve"> . . . consistent with attribution levels in recent years.”  </w:t>
      </w:r>
      <w:r w:rsidR="00762A8C">
        <w:rPr>
          <w:i/>
          <w:iCs/>
        </w:rPr>
        <w:t>Id.</w:t>
      </w:r>
      <w:r w:rsidR="003C4627">
        <w:t xml:space="preserve">  The Mailers represent that nothing in NPPC et al. Proposal One would affect how those costs are currently attributed to </w:t>
      </w:r>
      <w:proofErr w:type="gramStart"/>
      <w:r w:rsidR="003C4627">
        <w:t>particular classes</w:t>
      </w:r>
      <w:proofErr w:type="gramEnd"/>
      <w:r w:rsidR="003C4627">
        <w:t xml:space="preserve"> and products.  </w:t>
      </w:r>
      <w:r w:rsidR="003C4627">
        <w:rPr>
          <w:i/>
          <w:iCs/>
        </w:rPr>
        <w:t>Id.</w:t>
      </w:r>
      <w:r w:rsidR="003C4627">
        <w:t xml:space="preserve"> at 18.</w:t>
      </w:r>
    </w:p>
    <w:p w14:paraId="4C5108D3" w14:textId="48C77FA7" w:rsidR="00B82B69" w:rsidRDefault="00B82B69" w:rsidP="00745110">
      <w:pPr>
        <w:pStyle w:val="Heading2"/>
        <w:numPr>
          <w:ilvl w:val="0"/>
          <w:numId w:val="17"/>
        </w:numPr>
        <w:ind w:hanging="720"/>
      </w:pPr>
      <w:r>
        <w:t>Notice and Comment</w:t>
      </w:r>
    </w:p>
    <w:p w14:paraId="281CE22F" w14:textId="5BA9AE14" w:rsidR="00B82B69" w:rsidRPr="00B82B69" w:rsidRDefault="00B02C52" w:rsidP="00B82B69">
      <w:r>
        <w:t xml:space="preserve">The Commission will use Docket No. RM2023-3 for consideration of matters raised by NPPC et al. Proposal One.  More information on NPPC et al. Proposal One may be accessed via the Commission’s website at </w:t>
      </w:r>
      <w:r w:rsidRPr="00B02C52">
        <w:rPr>
          <w:i/>
          <w:iCs/>
        </w:rPr>
        <w:t>http://www.prc.gov</w:t>
      </w:r>
      <w:r>
        <w:t xml:space="preserve">. </w:t>
      </w:r>
      <w:r w:rsidR="00E158CD">
        <w:t xml:space="preserve"> </w:t>
      </w:r>
      <w:r>
        <w:t xml:space="preserve">Interested persons may submit comments on </w:t>
      </w:r>
      <w:r w:rsidR="00E158CD">
        <w:t xml:space="preserve">NPPC et al. Proposal One </w:t>
      </w:r>
      <w:r>
        <w:t xml:space="preserve">no later than </w:t>
      </w:r>
      <w:r w:rsidR="0082796F">
        <w:t>Feb</w:t>
      </w:r>
      <w:r w:rsidR="003F5900">
        <w:t>ruary</w:t>
      </w:r>
      <w:r w:rsidR="0082796F">
        <w:t xml:space="preserve"> </w:t>
      </w:r>
      <w:r w:rsidR="008D4613">
        <w:t>8,</w:t>
      </w:r>
      <w:r w:rsidR="00E158CD">
        <w:t xml:space="preserve"> 2023</w:t>
      </w:r>
      <w:r>
        <w:t>.</w:t>
      </w:r>
      <w:r w:rsidR="0006672B">
        <w:rPr>
          <w:rStyle w:val="FootnoteReference"/>
        </w:rPr>
        <w:footnoteReference w:id="27"/>
      </w:r>
      <w:r w:rsidR="00773B0E">
        <w:t xml:space="preserve">  Comments should be filed in Docket No.</w:t>
      </w:r>
      <w:r w:rsidR="00312D7E">
        <w:t xml:space="preserve"> </w:t>
      </w:r>
      <w:r w:rsidR="00773B0E">
        <w:t>RM2023-3.</w:t>
      </w:r>
      <w:r>
        <w:t xml:space="preserve"> </w:t>
      </w:r>
      <w:r w:rsidR="00E158CD">
        <w:t xml:space="preserve"> </w:t>
      </w:r>
      <w:r>
        <w:t xml:space="preserve">Pursuant to 39 U.S.C. 505, Jennaca D. Upperman is designated as an officer of the Commission (Public Representative) to represent the interests of the </w:t>
      </w:r>
      <w:proofErr w:type="gramStart"/>
      <w:r>
        <w:t>general public</w:t>
      </w:r>
      <w:proofErr w:type="gramEnd"/>
      <w:r>
        <w:t xml:space="preserve"> in this proceeding.</w:t>
      </w:r>
    </w:p>
    <w:p w14:paraId="07B1329B" w14:textId="67926F63" w:rsidR="00657842" w:rsidRPr="003B5A39" w:rsidRDefault="00267393" w:rsidP="009551E8">
      <w:pPr>
        <w:pStyle w:val="Heading1"/>
        <w:rPr>
          <w:rFonts w:cs="Arial"/>
          <w:szCs w:val="24"/>
        </w:rPr>
      </w:pPr>
      <w:r w:rsidRPr="003B5A39">
        <w:rPr>
          <w:rFonts w:cs="Arial"/>
          <w:szCs w:val="24"/>
        </w:rPr>
        <w:lastRenderedPageBreak/>
        <w:t>V</w:t>
      </w:r>
      <w:r w:rsidR="0078049B">
        <w:rPr>
          <w:rFonts w:cs="Arial"/>
          <w:szCs w:val="24"/>
        </w:rPr>
        <w:t>I</w:t>
      </w:r>
      <w:r w:rsidRPr="003B5A39">
        <w:rPr>
          <w:rFonts w:cs="Arial"/>
          <w:szCs w:val="24"/>
        </w:rPr>
        <w:t>.</w:t>
      </w:r>
      <w:r w:rsidRPr="003B5A39">
        <w:rPr>
          <w:rFonts w:cs="Arial"/>
          <w:szCs w:val="24"/>
        </w:rPr>
        <w:tab/>
        <w:t>ORDERING PARAGRAPHS</w:t>
      </w:r>
    </w:p>
    <w:p w14:paraId="76AF88D8" w14:textId="77777777" w:rsidR="00657842" w:rsidRPr="003B5A39" w:rsidRDefault="00657842" w:rsidP="009551E8">
      <w:pPr>
        <w:pStyle w:val="NormalLeft"/>
        <w:spacing w:before="240" w:after="240"/>
        <w:rPr>
          <w:rFonts w:cs="Arial"/>
        </w:rPr>
      </w:pPr>
      <w:r w:rsidRPr="003B5A39">
        <w:rPr>
          <w:rFonts w:cs="Arial"/>
          <w:i/>
        </w:rPr>
        <w:t>It is ordered</w:t>
      </w:r>
      <w:r w:rsidRPr="003B5A39">
        <w:rPr>
          <w:rFonts w:cs="Arial"/>
        </w:rPr>
        <w:t>:</w:t>
      </w:r>
    </w:p>
    <w:p w14:paraId="428E5678" w14:textId="17F0395C" w:rsidR="00C76FBB" w:rsidRPr="00677354" w:rsidRDefault="004C7197" w:rsidP="00D85C06">
      <w:pPr>
        <w:pStyle w:val="OrderPara"/>
        <w:spacing w:after="240"/>
        <w:rPr>
          <w:rFonts w:cs="Arial"/>
        </w:rPr>
      </w:pPr>
      <w:r w:rsidRPr="003B5A39">
        <w:rPr>
          <w:rFonts w:cs="Arial"/>
        </w:rPr>
        <w:t xml:space="preserve">The </w:t>
      </w:r>
      <w:r w:rsidR="005B1158">
        <w:rPr>
          <w:rFonts w:cs="Arial"/>
        </w:rPr>
        <w:t>Motion for Reconsideration or, in the Alternative</w:t>
      </w:r>
      <w:r w:rsidR="000176A4">
        <w:rPr>
          <w:rFonts w:cs="Arial"/>
        </w:rPr>
        <w:t>, Petition to Initiate a Proceeding Regarding the Appropriate Analytical Principle for Retiree Health Benefit Normal Costs</w:t>
      </w:r>
      <w:r w:rsidR="00936C4C">
        <w:rPr>
          <w:rFonts w:cs="Arial"/>
        </w:rPr>
        <w:t>,</w:t>
      </w:r>
      <w:r w:rsidRPr="003B5A39">
        <w:rPr>
          <w:rFonts w:cs="Arial"/>
        </w:rPr>
        <w:t xml:space="preserve"> </w:t>
      </w:r>
      <w:r w:rsidR="000964BD" w:rsidRPr="003B5A39">
        <w:rPr>
          <w:rFonts w:cs="Arial"/>
        </w:rPr>
        <w:t>filed</w:t>
      </w:r>
      <w:r w:rsidR="00361187" w:rsidRPr="003B5A39">
        <w:rPr>
          <w:rFonts w:cs="Arial"/>
        </w:rPr>
        <w:t xml:space="preserve"> </w:t>
      </w:r>
      <w:r w:rsidR="00936C4C">
        <w:rPr>
          <w:rFonts w:cs="Arial"/>
        </w:rPr>
        <w:t xml:space="preserve">December </w:t>
      </w:r>
      <w:r w:rsidR="0084309B">
        <w:rPr>
          <w:rFonts w:cs="Arial"/>
        </w:rPr>
        <w:t>19</w:t>
      </w:r>
      <w:r w:rsidR="00361187" w:rsidRPr="003B5A39">
        <w:rPr>
          <w:rFonts w:cs="Arial"/>
        </w:rPr>
        <w:t>, 202</w:t>
      </w:r>
      <w:r w:rsidR="00F5576B">
        <w:rPr>
          <w:rFonts w:cs="Arial"/>
        </w:rPr>
        <w:t>2</w:t>
      </w:r>
      <w:r w:rsidR="00361187" w:rsidRPr="003B5A39">
        <w:rPr>
          <w:rFonts w:cs="Arial"/>
        </w:rPr>
        <w:t>,</w:t>
      </w:r>
      <w:r w:rsidR="00F01C88" w:rsidRPr="003B5A39">
        <w:rPr>
          <w:rFonts w:cs="Arial"/>
        </w:rPr>
        <w:t xml:space="preserve"> </w:t>
      </w:r>
      <w:r w:rsidRPr="003B5A39">
        <w:rPr>
          <w:rFonts w:cs="Arial"/>
        </w:rPr>
        <w:t xml:space="preserve">is </w:t>
      </w:r>
      <w:r w:rsidR="00936C4C">
        <w:rPr>
          <w:rFonts w:cs="Arial"/>
        </w:rPr>
        <w:t xml:space="preserve">denied </w:t>
      </w:r>
      <w:proofErr w:type="gramStart"/>
      <w:r w:rsidR="00936C4C">
        <w:rPr>
          <w:rFonts w:cs="Arial"/>
        </w:rPr>
        <w:t>with regard to</w:t>
      </w:r>
      <w:proofErr w:type="gramEnd"/>
      <w:r w:rsidR="00936C4C">
        <w:rPr>
          <w:rFonts w:cs="Arial"/>
        </w:rPr>
        <w:t xml:space="preserve"> the request for reconsideration of Order No. 6363 consistent with the body of </w:t>
      </w:r>
      <w:r w:rsidR="003A56BA">
        <w:rPr>
          <w:rFonts w:cs="Arial"/>
        </w:rPr>
        <w:t>this Order</w:t>
      </w:r>
      <w:r w:rsidRPr="003B5A39">
        <w:rPr>
          <w:rFonts w:cs="Arial"/>
        </w:rPr>
        <w:t>.</w:t>
      </w:r>
    </w:p>
    <w:p w14:paraId="449E7C3F" w14:textId="10094B41" w:rsidR="003A56BA" w:rsidRPr="003A56BA" w:rsidRDefault="003A56BA" w:rsidP="00D85C06">
      <w:pPr>
        <w:pStyle w:val="OrderPara"/>
        <w:spacing w:after="240"/>
        <w:rPr>
          <w:rFonts w:eastAsiaTheme="minorEastAsia" w:cs="Arial"/>
        </w:rPr>
      </w:pPr>
      <w:r>
        <w:t>The Commission will use Docket No. RM2023-3 for consideration of the matters raised by</w:t>
      </w:r>
      <w:r w:rsidR="00F87FC3">
        <w:t xml:space="preserve"> NPPC et al. Proposal One</w:t>
      </w:r>
      <w:r w:rsidR="00474179">
        <w:t>, as described in</w:t>
      </w:r>
      <w:r w:rsidR="00474179" w:rsidRPr="00474179">
        <w:rPr>
          <w:rFonts w:cs="Arial"/>
        </w:rPr>
        <w:t xml:space="preserve"> </w:t>
      </w:r>
      <w:r w:rsidR="00474179">
        <w:rPr>
          <w:rFonts w:cs="Arial"/>
        </w:rPr>
        <w:t>t</w:t>
      </w:r>
      <w:r w:rsidR="00474179" w:rsidRPr="003B5A39">
        <w:rPr>
          <w:rFonts w:cs="Arial"/>
        </w:rPr>
        <w:t xml:space="preserve">he </w:t>
      </w:r>
      <w:r w:rsidR="00474179">
        <w:rPr>
          <w:rFonts w:cs="Arial"/>
        </w:rPr>
        <w:t>Motion for Reconsideration or, in the Alternative, Petition to Initiate a Proceeding Regarding the Appropriate Analytical Principle for Retiree Health Benefit Normal Costs,</w:t>
      </w:r>
      <w:r w:rsidR="00474179" w:rsidRPr="003B5A39">
        <w:rPr>
          <w:rFonts w:cs="Arial"/>
        </w:rPr>
        <w:t xml:space="preserve"> filed </w:t>
      </w:r>
      <w:r w:rsidR="00474179">
        <w:rPr>
          <w:rFonts w:cs="Arial"/>
        </w:rPr>
        <w:t xml:space="preserve">December </w:t>
      </w:r>
      <w:r w:rsidR="0084309B">
        <w:rPr>
          <w:rFonts w:cs="Arial"/>
        </w:rPr>
        <w:t>19</w:t>
      </w:r>
      <w:r w:rsidR="00474179" w:rsidRPr="003B5A39">
        <w:rPr>
          <w:rFonts w:cs="Arial"/>
        </w:rPr>
        <w:t>, 202</w:t>
      </w:r>
      <w:r w:rsidR="00F5576B">
        <w:rPr>
          <w:rFonts w:cs="Arial"/>
        </w:rPr>
        <w:t>2</w:t>
      </w:r>
      <w:r>
        <w:t>.</w:t>
      </w:r>
    </w:p>
    <w:p w14:paraId="65F01446" w14:textId="677450E8" w:rsidR="00850BA2" w:rsidRPr="003B5A39" w:rsidRDefault="001B76DE" w:rsidP="00D85C06">
      <w:pPr>
        <w:pStyle w:val="OrderPara"/>
        <w:spacing w:after="240"/>
        <w:rPr>
          <w:rFonts w:eastAsiaTheme="minorEastAsia" w:cs="Arial"/>
        </w:rPr>
      </w:pPr>
      <w:r>
        <w:t xml:space="preserve">Comments by interested persons </w:t>
      </w:r>
      <w:r w:rsidR="00F848DD">
        <w:t>on NPPC et al. Proposal One</w:t>
      </w:r>
      <w:r>
        <w:t xml:space="preserve"> are due no later than </w:t>
      </w:r>
      <w:r w:rsidR="003F5900">
        <w:t xml:space="preserve">February </w:t>
      </w:r>
      <w:r w:rsidR="008D4613">
        <w:t xml:space="preserve">8, </w:t>
      </w:r>
      <w:proofErr w:type="gramStart"/>
      <w:r>
        <w:t>202</w:t>
      </w:r>
      <w:r w:rsidR="00750D2E">
        <w:t>3</w:t>
      </w:r>
      <w:proofErr w:type="gramEnd"/>
      <w:r w:rsidR="00750D2E">
        <w:rPr>
          <w:rFonts w:cs="Arial"/>
        </w:rPr>
        <w:t xml:space="preserve"> and should be filed in Docket No. RM2023-3</w:t>
      </w:r>
      <w:r w:rsidR="0EE9DF5A" w:rsidRPr="003B5A39">
        <w:rPr>
          <w:rFonts w:cs="Arial"/>
        </w:rPr>
        <w:t>.</w:t>
      </w:r>
    </w:p>
    <w:p w14:paraId="2066C108" w14:textId="28625B68" w:rsidR="004E1C86" w:rsidRPr="003B5A39" w:rsidRDefault="00902B5F" w:rsidP="00D85C06">
      <w:pPr>
        <w:pStyle w:val="OrderPara"/>
        <w:spacing w:after="240"/>
        <w:rPr>
          <w:rFonts w:eastAsiaTheme="minorEastAsia" w:cs="Arial"/>
        </w:rPr>
      </w:pPr>
      <w:r>
        <w:t xml:space="preserve">Pursuant to 39 U.S.C. 505, the Commission appoints Jennaca D. Upperman to serve as an officer of the Commission (Public Representative) to represent the interests of the </w:t>
      </w:r>
      <w:proofErr w:type="gramStart"/>
      <w:r>
        <w:t>general public</w:t>
      </w:r>
      <w:proofErr w:type="gramEnd"/>
      <w:r>
        <w:t xml:space="preserve"> in this docket</w:t>
      </w:r>
      <w:r w:rsidR="00B43EE2" w:rsidRPr="003B5A39">
        <w:rPr>
          <w:rFonts w:cs="Arial"/>
        </w:rPr>
        <w:t>.</w:t>
      </w:r>
    </w:p>
    <w:p w14:paraId="12985B37" w14:textId="5A13310A" w:rsidR="003B5A39" w:rsidRPr="003B5A39" w:rsidRDefault="00902B5F" w:rsidP="00D85C06">
      <w:pPr>
        <w:pStyle w:val="OrderPara"/>
        <w:spacing w:after="240"/>
        <w:rPr>
          <w:rFonts w:cs="Arial"/>
        </w:rPr>
      </w:pPr>
      <w:r>
        <w:t xml:space="preserve">The Secretary shall arrange for publication of this Order in the </w:t>
      </w:r>
      <w:r w:rsidRPr="00902B5F">
        <w:rPr>
          <w:i/>
          <w:iCs/>
        </w:rPr>
        <w:t>Federal Register</w:t>
      </w:r>
      <w:r w:rsidR="004078FB" w:rsidRPr="003B5A39">
        <w:rPr>
          <w:rFonts w:cs="Arial"/>
        </w:rPr>
        <w:t>.</w:t>
      </w:r>
    </w:p>
    <w:p w14:paraId="008DFACA" w14:textId="77777777" w:rsidR="00657842" w:rsidRDefault="00657842" w:rsidP="00657842">
      <w:pPr>
        <w:pStyle w:val="NormalLeft"/>
        <w:spacing w:line="240" w:lineRule="auto"/>
      </w:pPr>
      <w:r>
        <w:t>By the Commission.</w:t>
      </w:r>
    </w:p>
    <w:p w14:paraId="20073E38" w14:textId="77777777" w:rsidR="00657842" w:rsidRDefault="00657842" w:rsidP="00E45ACA">
      <w:pPr>
        <w:pStyle w:val="NormalLeft"/>
        <w:spacing w:line="240" w:lineRule="auto"/>
      </w:pPr>
    </w:p>
    <w:p w14:paraId="3A50701B" w14:textId="58263532" w:rsidR="00C97E89" w:rsidRDefault="00C97E89" w:rsidP="00E45ACA">
      <w:pPr>
        <w:pStyle w:val="NormalLeft"/>
        <w:spacing w:line="240" w:lineRule="auto"/>
      </w:pPr>
    </w:p>
    <w:p w14:paraId="4CD3A36B" w14:textId="77777777" w:rsidR="00D85C06" w:rsidRDefault="00D85C06" w:rsidP="00E45ACA">
      <w:pPr>
        <w:pStyle w:val="NormalLeft"/>
        <w:spacing w:line="240" w:lineRule="auto"/>
      </w:pPr>
    </w:p>
    <w:p w14:paraId="580DC0E9" w14:textId="77777777" w:rsidR="00657842" w:rsidRPr="00A5015D" w:rsidRDefault="0002740D" w:rsidP="00A5015D">
      <w:pPr>
        <w:pStyle w:val="NormalLeft"/>
        <w:spacing w:line="240" w:lineRule="auto"/>
        <w:ind w:left="5040"/>
      </w:pPr>
      <w:r>
        <w:t>Erica A. Barker</w:t>
      </w:r>
      <w:r w:rsidR="00657842">
        <w:br/>
        <w:t>Secretary</w:t>
      </w:r>
    </w:p>
    <w:sectPr w:rsidR="00657842" w:rsidRPr="00A5015D" w:rsidSect="00657842">
      <w:headerReference w:type="even" r:id="rId8"/>
      <w:headerReference w:type="default" r:id="rId9"/>
      <w:foot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FB50" w14:textId="77777777" w:rsidR="00CF08FF" w:rsidRDefault="00CF08FF" w:rsidP="00657842">
      <w:pPr>
        <w:spacing w:line="240" w:lineRule="auto"/>
      </w:pPr>
      <w:r>
        <w:separator/>
      </w:r>
    </w:p>
  </w:endnote>
  <w:endnote w:type="continuationSeparator" w:id="0">
    <w:p w14:paraId="23A2A87C" w14:textId="77777777" w:rsidR="00CF08FF" w:rsidRDefault="00CF08FF" w:rsidP="00657842">
      <w:pPr>
        <w:spacing w:line="240" w:lineRule="auto"/>
      </w:pPr>
      <w:r>
        <w:continuationSeparator/>
      </w:r>
    </w:p>
  </w:endnote>
  <w:endnote w:type="continuationNotice" w:id="1">
    <w:p w14:paraId="0680ED1A" w14:textId="77777777" w:rsidR="00CF08FF" w:rsidRDefault="00CF08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67EC" w14:textId="06847E33" w:rsidR="4D549576" w:rsidRDefault="4D549576" w:rsidP="00CB3449">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374" w14:textId="77777777" w:rsidR="00CF08FF" w:rsidRDefault="00CF08FF" w:rsidP="00CB3449">
      <w:pPr>
        <w:spacing w:after="120" w:line="240" w:lineRule="auto"/>
        <w:ind w:firstLine="0"/>
      </w:pPr>
      <w:r>
        <w:separator/>
      </w:r>
    </w:p>
  </w:footnote>
  <w:footnote w:type="continuationSeparator" w:id="0">
    <w:p w14:paraId="3966BB5E" w14:textId="77777777" w:rsidR="00CF08FF" w:rsidRDefault="00CF08FF" w:rsidP="00657842">
      <w:pPr>
        <w:spacing w:line="240" w:lineRule="auto"/>
      </w:pPr>
      <w:r>
        <w:continuationSeparator/>
      </w:r>
    </w:p>
  </w:footnote>
  <w:footnote w:type="continuationNotice" w:id="1">
    <w:p w14:paraId="62E2796F" w14:textId="77777777" w:rsidR="00CF08FF" w:rsidRDefault="00CF08FF">
      <w:pPr>
        <w:spacing w:line="240" w:lineRule="auto"/>
      </w:pPr>
    </w:p>
  </w:footnote>
  <w:footnote w:id="2">
    <w:p w14:paraId="2A37EC96" w14:textId="11FEDFE0" w:rsidR="00641997" w:rsidRDefault="00641997" w:rsidP="00641997">
      <w:pPr>
        <w:pStyle w:val="FootnoteText"/>
      </w:pPr>
      <w:r>
        <w:rPr>
          <w:rStyle w:val="FootnoteReference"/>
        </w:rPr>
        <w:footnoteRef/>
      </w:r>
      <w:r>
        <w:t xml:space="preserve"> Docket No. RM2023-1, Order Granting Petition, In Part, for Reconsideration, December 9, 2022, at 10 (Order No. 6363).</w:t>
      </w:r>
      <w:r w:rsidR="004E5418">
        <w:t xml:space="preserve">  The Postal Service has separately appealed Order No. 6363.  </w:t>
      </w:r>
      <w:r w:rsidR="004E5418">
        <w:rPr>
          <w:i/>
          <w:iCs/>
        </w:rPr>
        <w:t xml:space="preserve">See </w:t>
      </w:r>
      <w:r w:rsidR="007752D1">
        <w:rPr>
          <w:i/>
          <w:iCs/>
        </w:rPr>
        <w:t xml:space="preserve">U.S. </w:t>
      </w:r>
      <w:r w:rsidR="00CC76EB">
        <w:rPr>
          <w:i/>
          <w:iCs/>
        </w:rPr>
        <w:t xml:space="preserve">Postal </w:t>
      </w:r>
      <w:r w:rsidR="004F6F20">
        <w:rPr>
          <w:i/>
          <w:iCs/>
        </w:rPr>
        <w:t xml:space="preserve">Serv. v. Postal </w:t>
      </w:r>
      <w:proofErr w:type="spellStart"/>
      <w:r w:rsidR="004F6F20">
        <w:rPr>
          <w:i/>
          <w:iCs/>
        </w:rPr>
        <w:t>Reg</w:t>
      </w:r>
      <w:r w:rsidR="00D101A5">
        <w:rPr>
          <w:i/>
          <w:iCs/>
        </w:rPr>
        <w:t>ul</w:t>
      </w:r>
      <w:proofErr w:type="spellEnd"/>
      <w:r w:rsidR="004F6F20">
        <w:rPr>
          <w:i/>
          <w:iCs/>
        </w:rPr>
        <w:t>. Comm’n</w:t>
      </w:r>
      <w:r w:rsidR="00962C77">
        <w:t xml:space="preserve">, No. </w:t>
      </w:r>
      <w:r w:rsidR="009A25A6">
        <w:t>23-</w:t>
      </w:r>
      <w:r w:rsidR="00FE67B9">
        <w:t>1003</w:t>
      </w:r>
      <w:r w:rsidR="000073B9">
        <w:t xml:space="preserve"> (D.C. Cir. </w:t>
      </w:r>
      <w:r w:rsidR="00262883">
        <w:t>Jan. 6, 2023)</w:t>
      </w:r>
      <w:r w:rsidR="002E27BD">
        <w:t>, ECF Document No.</w:t>
      </w:r>
      <w:r w:rsidR="005E403E">
        <w:t xml:space="preserve"> </w:t>
      </w:r>
      <w:r w:rsidR="003E3AFC">
        <w:t>198</w:t>
      </w:r>
      <w:r w:rsidR="00AD36DD">
        <w:t>0503</w:t>
      </w:r>
      <w:r w:rsidR="006F0CA5">
        <w:t>, at 1</w:t>
      </w:r>
      <w:r w:rsidR="00E76C55">
        <w:noBreakHyphen/>
      </w:r>
      <w:r w:rsidR="006F0CA5">
        <w:t>3.</w:t>
      </w:r>
    </w:p>
  </w:footnote>
  <w:footnote w:id="3">
    <w:p w14:paraId="21711F18" w14:textId="4A73451E" w:rsidR="0058474B" w:rsidRDefault="0058474B" w:rsidP="0058474B">
      <w:pPr>
        <w:pStyle w:val="FootnoteText"/>
      </w:pPr>
      <w:r>
        <w:rPr>
          <w:rStyle w:val="FootnoteReference"/>
        </w:rPr>
        <w:footnoteRef/>
      </w:r>
      <w:r>
        <w:t xml:space="preserve"> Docket Nos. RM2023-1 and RM2023-3, Motion for Reconsideration or, in the Alternative, Petition to Initiate a Proceeding Regarding the Appropriate Analytical Principle for Retiree Health Benefit Normal Costs, December 19, 2022 (Mailers’ Motion and Petition).</w:t>
      </w:r>
      <w:r w:rsidR="00A64BF8">
        <w:t xml:space="preserve">  The Mailers</w:t>
      </w:r>
      <w:r w:rsidR="00CA65F8">
        <w:t xml:space="preserve"> initially designated their petition as Proposal Eight.  In Order No. </w:t>
      </w:r>
      <w:r w:rsidR="00C153B4">
        <w:t>6382</w:t>
      </w:r>
      <w:r w:rsidR="00CA65F8">
        <w:t>, the Commission redesignated the petition as NPPC et al. Proposal One</w:t>
      </w:r>
      <w:r w:rsidR="00E50E6E">
        <w:t xml:space="preserve"> to distinguish it from proposals initiated by the Postal Service.  Docket Nos. RM2023-1 and RM2023-3, Order Granting Motion for Extension of Time, December 21, 2022, at 2 n.</w:t>
      </w:r>
      <w:r w:rsidR="00667AA2">
        <w:t xml:space="preserve">2 (Order No. </w:t>
      </w:r>
      <w:r w:rsidR="00C153B4">
        <w:t>6382</w:t>
      </w:r>
      <w:r w:rsidR="00667AA2">
        <w:t>).</w:t>
      </w:r>
      <w:r w:rsidR="00897183">
        <w:t xml:space="preserve">  This change continues to be reflected in the caption for Docket No. RM2023-3 and </w:t>
      </w:r>
      <w:r w:rsidR="003761BE">
        <w:t xml:space="preserve">is how the Commission will reference the </w:t>
      </w:r>
      <w:r w:rsidR="00CA642A">
        <w:t xml:space="preserve">Mailers’ petition in this </w:t>
      </w:r>
      <w:r w:rsidR="00876C65">
        <w:t>proceeding</w:t>
      </w:r>
      <w:r w:rsidR="00CA642A">
        <w:t>.</w:t>
      </w:r>
    </w:p>
  </w:footnote>
  <w:footnote w:id="4">
    <w:p w14:paraId="1C8F5D8F" w14:textId="00459701" w:rsidR="000009C8" w:rsidRDefault="000009C8" w:rsidP="000009C8">
      <w:pPr>
        <w:pStyle w:val="FootnoteText"/>
      </w:pPr>
      <w:r>
        <w:rPr>
          <w:rStyle w:val="FootnoteReference"/>
        </w:rPr>
        <w:footnoteRef/>
      </w:r>
      <w:r>
        <w:t xml:space="preserve"> </w:t>
      </w:r>
      <w:r w:rsidRPr="000A0171">
        <w:t xml:space="preserve">Docket No. ACR2021, </w:t>
      </w:r>
      <w:r>
        <w:rPr>
          <w:i/>
        </w:rPr>
        <w:t>Financial Analysis of United States Postal Service Financial Results and 10-K Statement</w:t>
      </w:r>
      <w:r w:rsidRPr="000A0171">
        <w:t>, Ma</w:t>
      </w:r>
      <w:r>
        <w:t>y</w:t>
      </w:r>
      <w:r w:rsidRPr="000A0171">
        <w:t xml:space="preserve"> </w:t>
      </w:r>
      <w:r>
        <w:t>18</w:t>
      </w:r>
      <w:r w:rsidRPr="000A0171">
        <w:t>, 2022</w:t>
      </w:r>
      <w:r>
        <w:t>, at 7 n.9.</w:t>
      </w:r>
    </w:p>
  </w:footnote>
  <w:footnote w:id="5">
    <w:p w14:paraId="161B013C" w14:textId="335B4876" w:rsidR="00E92347" w:rsidRPr="001D7737" w:rsidRDefault="00E92347" w:rsidP="002176B8">
      <w:pPr>
        <w:pStyle w:val="FootnoteText"/>
      </w:pPr>
      <w:r>
        <w:rPr>
          <w:rStyle w:val="FootnoteReference"/>
        </w:rPr>
        <w:footnoteRef/>
      </w:r>
      <w:r>
        <w:t xml:space="preserve"> </w:t>
      </w:r>
      <w:r w:rsidR="00093A6A">
        <w:t xml:space="preserve">Former </w:t>
      </w:r>
      <w:r w:rsidR="00FB3E61">
        <w:t xml:space="preserve">5 U.S.C. </w:t>
      </w:r>
      <w:r w:rsidR="00EF7040">
        <w:t>8909a(d)(3)(B)</w:t>
      </w:r>
      <w:r w:rsidR="00FF43DB">
        <w:t>.</w:t>
      </w:r>
      <w:r w:rsidR="001D7737">
        <w:t xml:space="preserve">  As explained in detail in Section IV.A., </w:t>
      </w:r>
      <w:r w:rsidR="001D7737">
        <w:rPr>
          <w:i/>
          <w:iCs/>
        </w:rPr>
        <w:t>infra</w:t>
      </w:r>
      <w:r w:rsidR="001D7737">
        <w:t>, these requirements replace</w:t>
      </w:r>
      <w:r w:rsidR="00EA5062">
        <w:t>d different</w:t>
      </w:r>
      <w:r w:rsidR="00D41796">
        <w:t xml:space="preserve"> retiree health benefit</w:t>
      </w:r>
      <w:r w:rsidR="00EA5062">
        <w:t xml:space="preserve"> funding requirements that were in place between FY</w:t>
      </w:r>
      <w:r w:rsidR="00FB2159">
        <w:t> </w:t>
      </w:r>
      <w:r w:rsidR="00EA5062">
        <w:t>2007 and FY 2016.</w:t>
      </w:r>
    </w:p>
  </w:footnote>
  <w:footnote w:id="6">
    <w:p w14:paraId="7D340494" w14:textId="382BDCC8" w:rsidR="00FF43DB" w:rsidRDefault="00FF43DB" w:rsidP="002176B8">
      <w:pPr>
        <w:pStyle w:val="FootnoteText"/>
      </w:pPr>
      <w:r>
        <w:rPr>
          <w:rStyle w:val="FootnoteReference"/>
        </w:rPr>
        <w:footnoteRef/>
      </w:r>
      <w:r>
        <w:t xml:space="preserve"> Postal Service Reform Act of 2022, Pub. L. 117-108, 136 Stat. 1127 (2022).</w:t>
      </w:r>
    </w:p>
  </w:footnote>
  <w:footnote w:id="7">
    <w:p w14:paraId="563C7AFC" w14:textId="13736B50" w:rsidR="00C74FE4" w:rsidRPr="00C74FE4" w:rsidRDefault="00C74FE4" w:rsidP="009810FF">
      <w:pPr>
        <w:pStyle w:val="FootnoteText"/>
        <w:rPr>
          <w:i/>
          <w:iCs/>
        </w:rPr>
      </w:pPr>
      <w:r>
        <w:rPr>
          <w:rStyle w:val="FootnoteReference"/>
        </w:rPr>
        <w:footnoteRef/>
      </w:r>
      <w:r>
        <w:t xml:space="preserve"> </w:t>
      </w:r>
      <w:r>
        <w:rPr>
          <w:i/>
          <w:iCs/>
        </w:rPr>
        <w:t xml:space="preserve">See </w:t>
      </w:r>
      <w:r>
        <w:t xml:space="preserve">Letter </w:t>
      </w:r>
      <w:r w:rsidR="00701820">
        <w:t xml:space="preserve">from Richard T. Cooper, Managing Counsel, Corporate and Postal Business Law </w:t>
      </w:r>
      <w:r>
        <w:t>to Erica A. Barker, Secretary and Chief Administrative Officer, August 12, 2022, available at</w:t>
      </w:r>
      <w:r>
        <w:rPr>
          <w:i/>
          <w:iCs/>
        </w:rPr>
        <w:t xml:space="preserve"> </w:t>
      </w:r>
      <w:r w:rsidRPr="00C74FE4">
        <w:rPr>
          <w:i/>
          <w:iCs/>
        </w:rPr>
        <w:t>https://www.prc.gov/docs/122/122469/Lttr%20re%20PSRA%20Effects%20ACR%20CRA.pdf</w:t>
      </w:r>
      <w:r>
        <w:t xml:space="preserve">; </w:t>
      </w:r>
      <w:r w:rsidR="00C866D8">
        <w:t xml:space="preserve">Letter from Erica A. Barker, Secretary and Chief Administrative Officer to Richard T. Cooper, Managing Counsel, Corporate and Postal Business Law, October 7, 2022, available at </w:t>
      </w:r>
      <w:r w:rsidR="00D859AE" w:rsidRPr="00D859AE">
        <w:rPr>
          <w:i/>
          <w:iCs/>
        </w:rPr>
        <w:t>https://www.prc.gov/docs/123/123096/Response%20Letter.pdf</w:t>
      </w:r>
      <w:r w:rsidR="00B0564A">
        <w:t>;</w:t>
      </w:r>
      <w:r w:rsidR="00D859AE">
        <w:t xml:space="preserve"> </w:t>
      </w:r>
      <w:r w:rsidR="00E8117E">
        <w:t>Docket No. RM2023-1, Petition for Reconsideration and Initiation of Proceeding, November 4, 2022;</w:t>
      </w:r>
      <w:r w:rsidR="00377396" w:rsidRPr="00377396">
        <w:t xml:space="preserve"> </w:t>
      </w:r>
      <w:r w:rsidR="00377396">
        <w:t xml:space="preserve">Letter to Erica A. Barker, Secretary and Chief Administrative Officer, October 13, 2022, styled Motion for Reconsideration of Response to the Postal Service’s Proposed Changes to Accepted Analytical Principles, available at </w:t>
      </w:r>
      <w:r w:rsidR="009C41C8" w:rsidRPr="00AC56C1">
        <w:rPr>
          <w:i/>
          <w:iCs/>
        </w:rPr>
        <w:t>https://www.prc.gov/docs/123/123145/Motion%20for%20Reconsideration_PropChange_.pdf</w:t>
      </w:r>
      <w:r w:rsidR="00872AB3">
        <w:t>;</w:t>
      </w:r>
      <w:r w:rsidR="009C41C8">
        <w:t xml:space="preserve"> </w:t>
      </w:r>
      <w:r w:rsidR="00AF3C9B">
        <w:t>Docket No.</w:t>
      </w:r>
      <w:r w:rsidR="005E0BD4">
        <w:t> </w:t>
      </w:r>
      <w:r w:rsidR="00AF3C9B">
        <w:t xml:space="preserve">RM2023-1, </w:t>
      </w:r>
      <w:r w:rsidR="009C41C8">
        <w:t xml:space="preserve">Response of the United States Postal Service in Opposition to GCA Petition for Reconsideration and Initiation of Proceeding, November 10, 2022; </w:t>
      </w:r>
      <w:r w:rsidR="00AF3C9B">
        <w:t xml:space="preserve">Docket No. RM2023-1, </w:t>
      </w:r>
      <w:r w:rsidR="006A7E73">
        <w:t>Reply of Mailer Associations to Response of the United States Postal Service in Opposition to GCA Petition for Reconsideration and Initiation of Proceeding, November 21, 2022.</w:t>
      </w:r>
    </w:p>
  </w:footnote>
  <w:footnote w:id="8">
    <w:p w14:paraId="2AF2EFBF" w14:textId="43E2BB45" w:rsidR="0081010C" w:rsidRPr="0081010C" w:rsidRDefault="0081010C">
      <w:pPr>
        <w:pStyle w:val="FootnoteText"/>
      </w:pPr>
      <w:r>
        <w:rPr>
          <w:rStyle w:val="FootnoteReference"/>
        </w:rPr>
        <w:footnoteRef/>
      </w:r>
      <w:r>
        <w:t xml:space="preserve"> Order No. 6363 at 2; 39 U.S.C. 3652.  </w:t>
      </w:r>
      <w:r>
        <w:rPr>
          <w:i/>
          <w:iCs/>
        </w:rPr>
        <w:t xml:space="preserve">See </w:t>
      </w:r>
      <w:r>
        <w:t xml:space="preserve">Docket No. ACR2022, </w:t>
      </w:r>
      <w:r w:rsidR="00603844">
        <w:t xml:space="preserve">United States Postal Service FY 2022 </w:t>
      </w:r>
      <w:r w:rsidR="00603844" w:rsidRPr="00301E3B">
        <w:rPr>
          <w:i/>
          <w:iCs/>
        </w:rPr>
        <w:t>Annual Compliance Report</w:t>
      </w:r>
      <w:r w:rsidR="00603844">
        <w:t>, December 29, 2022.</w:t>
      </w:r>
    </w:p>
  </w:footnote>
  <w:footnote w:id="9">
    <w:p w14:paraId="0C053B4E" w14:textId="351010C1" w:rsidR="00621777" w:rsidRPr="00426432" w:rsidRDefault="00621777">
      <w:pPr>
        <w:pStyle w:val="FootnoteText"/>
      </w:pPr>
      <w:r w:rsidRPr="00426432">
        <w:rPr>
          <w:rStyle w:val="FootnoteReference"/>
        </w:rPr>
        <w:footnoteRef/>
      </w:r>
      <w:r w:rsidRPr="00426432">
        <w:t xml:space="preserve"> </w:t>
      </w:r>
      <w:r w:rsidR="00426432" w:rsidRPr="00426432">
        <w:rPr>
          <w:i/>
          <w:iCs/>
        </w:rPr>
        <w:t>Id.</w:t>
      </w:r>
      <w:r w:rsidR="00426432">
        <w:t xml:space="preserve">  </w:t>
      </w:r>
      <w:r w:rsidR="005C1E75">
        <w:rPr>
          <w:i/>
          <w:iCs/>
        </w:rPr>
        <w:t xml:space="preserve">See </w:t>
      </w:r>
      <w:r w:rsidR="00275B8F">
        <w:t xml:space="preserve">Postal </w:t>
      </w:r>
      <w:r w:rsidR="00863666">
        <w:t xml:space="preserve">Accountability and Enhancement Act, </w:t>
      </w:r>
      <w:r w:rsidR="00426432" w:rsidRPr="00426432">
        <w:t>Pub. L. 109-435, 120 Stat. 3198 (2006).</w:t>
      </w:r>
    </w:p>
  </w:footnote>
  <w:footnote w:id="10">
    <w:p w14:paraId="29F00A8E" w14:textId="7AB56417" w:rsidR="00247E91" w:rsidRPr="00001307" w:rsidRDefault="00247E91">
      <w:pPr>
        <w:pStyle w:val="FootnoteText"/>
      </w:pPr>
      <w:r>
        <w:rPr>
          <w:rStyle w:val="FootnoteReference"/>
        </w:rPr>
        <w:footnoteRef/>
      </w:r>
      <w:r>
        <w:t xml:space="preserve"> </w:t>
      </w:r>
      <w:r w:rsidR="008B7E04">
        <w:t>Docket Nos. RM2023-1 and RM2023-3, Response of the United States Postal Service to Mailers’ Motion for Reconsideration and Petition, January 4, 2023 (Postal Service Response)</w:t>
      </w:r>
      <w:r w:rsidR="005B0FB3" w:rsidRPr="008B7E04">
        <w:t>;</w:t>
      </w:r>
      <w:r w:rsidR="005B0FB3">
        <w:t xml:space="preserve"> Docket Nos. RM2023-1 and RM2023-3</w:t>
      </w:r>
      <w:r w:rsidR="00920719">
        <w:t xml:space="preserve">, </w:t>
      </w:r>
      <w:r w:rsidR="005B0FB3">
        <w:t>Comments of the Package Shippers Association</w:t>
      </w:r>
      <w:r w:rsidR="00920719">
        <w:t xml:space="preserve">, January 4, 2023 (PSA </w:t>
      </w:r>
      <w:r w:rsidR="00520656">
        <w:t>Response</w:t>
      </w:r>
      <w:r w:rsidR="00920719">
        <w:t>)</w:t>
      </w:r>
      <w:r w:rsidR="00672BA6">
        <w:t xml:space="preserve">.  In Order No. </w:t>
      </w:r>
      <w:r w:rsidR="00631377">
        <w:t>6382,</w:t>
      </w:r>
      <w:r w:rsidR="006A5674">
        <w:t xml:space="preserve"> the Commission extended the deadline for responding to the Mailers’ Motion and Petition to </w:t>
      </w:r>
      <w:r w:rsidR="00E3525F">
        <w:t xml:space="preserve">January 4, 2023.  Order No. 6382 at 3.  </w:t>
      </w:r>
      <w:r w:rsidR="00E3525F">
        <w:rPr>
          <w:i/>
          <w:iCs/>
        </w:rPr>
        <w:t xml:space="preserve">See </w:t>
      </w:r>
      <w:r w:rsidR="00001307">
        <w:t>Docket Nos. RM2023-1 and RM2023-3, Motion of the United States Postal Service for Leave to File Consolidated or Concurrent Responses to Mailers’ December 19th Filing, December 20, 2022.</w:t>
      </w:r>
    </w:p>
  </w:footnote>
  <w:footnote w:id="11">
    <w:p w14:paraId="765EBDFB" w14:textId="4B7D2E13" w:rsidR="00500400" w:rsidRDefault="00500400">
      <w:pPr>
        <w:pStyle w:val="FootnoteText"/>
      </w:pPr>
      <w:r>
        <w:rPr>
          <w:rStyle w:val="FootnoteReference"/>
        </w:rPr>
        <w:footnoteRef/>
      </w:r>
      <w:r>
        <w:t xml:space="preserve"> Docket Nos. RM2023-1 and RM2023-3, Motion for Leave to File Reply Comments, January 11, 2023 (Motion for Reply Comments)</w:t>
      </w:r>
      <w:r w:rsidR="00AA3F0E">
        <w:t>; Docket Nos. RM2023-1 and RM2023-3, Reply Comments Regarding the Appropriate Analytical Principle for Retiree Health Benefit Normal Costs, January 11, 2023 (Mailers’ Reply Comments).</w:t>
      </w:r>
    </w:p>
  </w:footnote>
  <w:footnote w:id="12">
    <w:p w14:paraId="711B99B2" w14:textId="26AB1922" w:rsidR="001E571B" w:rsidRDefault="001E571B" w:rsidP="00E6415B">
      <w:pPr>
        <w:pStyle w:val="FootnoteText"/>
      </w:pPr>
      <w:r>
        <w:rPr>
          <w:rStyle w:val="FootnoteReference"/>
        </w:rPr>
        <w:footnoteRef/>
      </w:r>
      <w:r>
        <w:t xml:space="preserve"> </w:t>
      </w:r>
      <w:r w:rsidR="00E6415B" w:rsidRPr="00BE0529">
        <w:t>5 U.S.C. 8906(g)(2)(A); former 5 U.S.C. 8909a(d)(3)(A).</w:t>
      </w:r>
    </w:p>
  </w:footnote>
  <w:footnote w:id="13">
    <w:p w14:paraId="749C8DDF" w14:textId="79082DA5" w:rsidR="00BE5DB3" w:rsidRDefault="00BE5DB3">
      <w:pPr>
        <w:pStyle w:val="FootnoteText"/>
      </w:pPr>
      <w:r>
        <w:rPr>
          <w:rStyle w:val="FootnoteReference"/>
        </w:rPr>
        <w:footnoteRef/>
      </w:r>
      <w:r>
        <w:t xml:space="preserve"> </w:t>
      </w:r>
      <w:r w:rsidRPr="00BE0529">
        <w:t>Former 5 U.S.C. 8909a(d)(1) stated “[n]</w:t>
      </w:r>
      <w:proofErr w:type="spellStart"/>
      <w:r w:rsidRPr="00BE0529">
        <w:t>ot</w:t>
      </w:r>
      <w:proofErr w:type="spellEnd"/>
      <w:r w:rsidRPr="00BE0529">
        <w:t xml:space="preserve"> later than June 30, 2007, and by June 30 of each succeeding year, </w:t>
      </w:r>
      <w:r>
        <w:t>[OPM]</w:t>
      </w:r>
      <w:r w:rsidRPr="00BE0529">
        <w:t xml:space="preserve"> shall compute the net present </w:t>
      </w:r>
      <w:r w:rsidRPr="00535580">
        <w:t>value</w:t>
      </w:r>
      <w:r w:rsidRPr="00BE0529">
        <w:t xml:space="preserve"> of the future payments required under section 8906(g)(2)(A) and attributable to the service of Postal Service employees during the most recently ended fiscal year.”</w:t>
      </w:r>
    </w:p>
  </w:footnote>
  <w:footnote w:id="14">
    <w:p w14:paraId="49E31FC0" w14:textId="53C702A4" w:rsidR="00C41217" w:rsidRDefault="00C41217">
      <w:pPr>
        <w:pStyle w:val="FootnoteText"/>
      </w:pPr>
      <w:r>
        <w:rPr>
          <w:rStyle w:val="FootnoteReference"/>
        </w:rPr>
        <w:footnoteRef/>
      </w:r>
      <w:r>
        <w:t xml:space="preserve"> </w:t>
      </w:r>
      <w:r w:rsidR="00656E61" w:rsidRPr="00BE0529">
        <w:rPr>
          <w:i/>
        </w:rPr>
        <w:t>See</w:t>
      </w:r>
      <w:r w:rsidR="00656E61" w:rsidRPr="00BE0529">
        <w:t xml:space="preserve"> 39 U.S.C. 3654(b)(1).</w:t>
      </w:r>
    </w:p>
  </w:footnote>
  <w:footnote w:id="15">
    <w:p w14:paraId="1A438BB0" w14:textId="285934FD" w:rsidR="005F59C4" w:rsidRDefault="005F59C4">
      <w:pPr>
        <w:pStyle w:val="FootnoteText"/>
      </w:pPr>
      <w:r>
        <w:rPr>
          <w:rStyle w:val="FootnoteReference"/>
        </w:rPr>
        <w:footnoteRef/>
      </w:r>
      <w:r>
        <w:t xml:space="preserve"> </w:t>
      </w:r>
      <w:r w:rsidR="00375C9C">
        <w:t xml:space="preserve">39 U.S.C. 3654(b)(1)(C) in turn requires that the Postal Service </w:t>
      </w:r>
      <w:r w:rsidR="00DD631A">
        <w:t>report on its Forms 10-K “components of net periodic costs.”</w:t>
      </w:r>
      <w:r w:rsidR="001E540E">
        <w:t xml:space="preserve">  39 U.S.C. 3654(b)(1)(C).  </w:t>
      </w:r>
      <w:r w:rsidR="00784C45">
        <w:t>The reporting requirements of 39 U.S.C. 3654(b) remain in effect.</w:t>
      </w:r>
      <w:r w:rsidR="000C1096">
        <w:t xml:space="preserve">  The Mailers argue that the fact that the Postal Service’s FY 2022 Form 10-K </w:t>
      </w:r>
      <w:r w:rsidR="00FB42FE">
        <w:t>show</w:t>
      </w:r>
      <w:r w:rsidR="00AF40EA">
        <w:t>s</w:t>
      </w:r>
      <w:r w:rsidR="00FB42FE">
        <w:t xml:space="preserve"> retiree health benefit normal costs</w:t>
      </w:r>
      <w:r w:rsidR="009E287F">
        <w:t xml:space="preserve"> illustrates that retiree health benefits accrued in FY 2022</w:t>
      </w:r>
      <w:r w:rsidR="00A56DA9">
        <w:t>.  Mailers’ Motion and Petition at 15.</w:t>
      </w:r>
      <w:r w:rsidR="00C436D4">
        <w:t xml:space="preserve">  </w:t>
      </w:r>
      <w:r w:rsidR="005F13DF">
        <w:t xml:space="preserve">However, the </w:t>
      </w:r>
      <w:r w:rsidR="00F1525F">
        <w:t xml:space="preserve">reason the </w:t>
      </w:r>
      <w:r w:rsidR="005F13DF">
        <w:t>FY 2022 Form 10-K shows retiree health benefit normal costs</w:t>
      </w:r>
      <w:r w:rsidR="009161FC">
        <w:t xml:space="preserve"> is </w:t>
      </w:r>
      <w:r w:rsidR="00FD56F4">
        <w:t>solely</w:t>
      </w:r>
      <w:r w:rsidR="00CA0826">
        <w:t xml:space="preserve"> because it is required by</w:t>
      </w:r>
      <w:r w:rsidR="005F13DF">
        <w:t xml:space="preserve"> 39 U.S.C. 3654(b)(1)(C).</w:t>
      </w:r>
      <w:r w:rsidR="00966B37">
        <w:t xml:space="preserve">  </w:t>
      </w:r>
      <w:r w:rsidR="000F55C8">
        <w:t>The normal costs presented are n</w:t>
      </w:r>
      <w:r w:rsidR="00684F90">
        <w:t>ot included in expenses, nor do they impact the Postal Service’s balance sheet.</w:t>
      </w:r>
    </w:p>
  </w:footnote>
  <w:footnote w:id="16">
    <w:p w14:paraId="196233C4" w14:textId="79C42997" w:rsidR="00656E61" w:rsidRDefault="00656E61">
      <w:pPr>
        <w:pStyle w:val="FootnoteText"/>
      </w:pPr>
      <w:r>
        <w:rPr>
          <w:rStyle w:val="FootnoteReference"/>
        </w:rPr>
        <w:footnoteRef/>
      </w:r>
      <w:r>
        <w:t xml:space="preserve"> </w:t>
      </w:r>
      <w:r w:rsidR="00B55D9C" w:rsidRPr="00BE0529">
        <w:rPr>
          <w:i/>
        </w:rPr>
        <w:t xml:space="preserve">See </w:t>
      </w:r>
      <w:r w:rsidR="00B55D9C" w:rsidRPr="00BE0529">
        <w:t>Docket No. ACR2007, Library Reference USPS-FY07-2 – FY 2007 Cost Segments and Components Report (Hard copy &amp; Excel), December 28, 2007, Word document “FY07-2.Supplement.Health.Benefit.Costs.doc,” at 4.</w:t>
      </w:r>
    </w:p>
  </w:footnote>
  <w:footnote w:id="17">
    <w:p w14:paraId="430CFC23" w14:textId="4271C906" w:rsidR="00490004" w:rsidRDefault="00490004" w:rsidP="00490004">
      <w:pPr>
        <w:pStyle w:val="FootnoteText"/>
      </w:pPr>
      <w:r>
        <w:rPr>
          <w:rStyle w:val="FootnoteReference"/>
        </w:rPr>
        <w:footnoteRef/>
      </w:r>
      <w:r>
        <w:t xml:space="preserve"> </w:t>
      </w:r>
      <w:r w:rsidRPr="00FD2C86">
        <w:rPr>
          <w:i/>
          <w:iCs/>
        </w:rPr>
        <w:t xml:space="preserve">Id. </w:t>
      </w:r>
      <w:r w:rsidRPr="00FD2C86">
        <w:t>at 4-5.  The PAEA suspended the Postal Service’s CSRS contributions after FY 2016.</w:t>
      </w:r>
    </w:p>
  </w:footnote>
  <w:footnote w:id="18">
    <w:p w14:paraId="4F56A92C" w14:textId="77777777" w:rsidR="004732A1" w:rsidRDefault="001D0488" w:rsidP="001D0488">
      <w:pPr>
        <w:pStyle w:val="FootnoteText"/>
      </w:pPr>
      <w:r>
        <w:rPr>
          <w:rStyle w:val="FootnoteReference"/>
        </w:rPr>
        <w:footnoteRef/>
      </w:r>
      <w:r>
        <w:t xml:space="preserve"> Even prior to the PAEA, the Postal Service and the Commission used accounting costs as the foundation for assigning costs to “subclasses,” which in turn were used as a basis for rate setting.  As the Commission </w:t>
      </w:r>
      <w:r w:rsidR="0079367A">
        <w:t>explained</w:t>
      </w:r>
      <w:r>
        <w:t xml:space="preserve"> </w:t>
      </w:r>
      <w:r w:rsidR="00176132">
        <w:t xml:space="preserve">in a summary of </w:t>
      </w:r>
      <w:r w:rsidR="003C0774">
        <w:t>the process generally used</w:t>
      </w:r>
      <w:r>
        <w:t>,</w:t>
      </w:r>
    </w:p>
    <w:p w14:paraId="3937FD38" w14:textId="3618DC4B" w:rsidR="004732A1" w:rsidRDefault="004732A1" w:rsidP="009328BE">
      <w:pPr>
        <w:pStyle w:val="FootnoteText"/>
        <w:spacing w:before="120"/>
        <w:ind w:left="1440" w:right="1440" w:firstLine="0"/>
      </w:pPr>
      <w:r>
        <w:t>T</w:t>
      </w:r>
      <w:r w:rsidR="001D0488">
        <w:t>he process that produces the estimates in the CRA takes dollars from hundreds of subaccounts in the Postal Service’s Books of Account and assigns them to one of hundreds of ‘functional’ cost components.</w:t>
      </w:r>
      <w:r w:rsidR="007A3860">
        <w:t xml:space="preserve"> </w:t>
      </w:r>
      <w:r w:rsidR="001D0488">
        <w:t xml:space="preserve"> (Functional costs are viewed as economic costs).  Costs in the various functional components are analyzed to see how they vary with mail volume.  The volume variable part is then distributed to subclasses according to piece counts or other ‘distribution keys’ that imply subclass causation.  The Postal Service’s estimates of the costs and revenues generated by each subclass of m</w:t>
      </w:r>
      <w:r w:rsidR="00023504">
        <w:t>ail are derived from the intricate rules that it uses to convert its accounting costs to functional costs, apply variability percentages to functional costs, and distribute the variable por</w:t>
      </w:r>
      <w:r w:rsidR="00F91544">
        <w:t>tion to subclasses.</w:t>
      </w:r>
    </w:p>
    <w:p w14:paraId="6135A477" w14:textId="7CEEC489" w:rsidR="001D0488" w:rsidRDefault="00F91544" w:rsidP="00140B52">
      <w:pPr>
        <w:pStyle w:val="FootnoteText"/>
        <w:ind w:firstLine="0"/>
      </w:pPr>
      <w:r>
        <w:t>Docket No. RM2003-3, Final Rule on Periodic Reporting Requirement, November 3, 2003</w:t>
      </w:r>
      <w:r w:rsidR="008C0EDF">
        <w:t>, at</w:t>
      </w:r>
      <w:r w:rsidR="00734DC2">
        <w:t> </w:t>
      </w:r>
      <w:r w:rsidR="008C0EDF">
        <w:t>21-22 (Order No. 1386).</w:t>
      </w:r>
      <w:r w:rsidR="006F135D">
        <w:t xml:space="preserve">  When the PAEA was enacted</w:t>
      </w:r>
      <w:r w:rsidR="00EE41BA">
        <w:t xml:space="preserve"> and the Commission </w:t>
      </w:r>
      <w:r w:rsidR="00AC4F16">
        <w:t>put</w:t>
      </w:r>
      <w:r w:rsidR="00414229">
        <w:t xml:space="preserve"> new periodic reporting requirements</w:t>
      </w:r>
      <w:r w:rsidR="00AC4F16">
        <w:t xml:space="preserve"> in place</w:t>
      </w:r>
      <w:r w:rsidR="006F135D">
        <w:t>,</w:t>
      </w:r>
      <w:r w:rsidR="00414229">
        <w:t xml:space="preserve"> the Commission </w:t>
      </w:r>
      <w:r w:rsidR="00A12D51">
        <w:t>generally left th</w:t>
      </w:r>
      <w:r w:rsidR="00951DBC">
        <w:t>is</w:t>
      </w:r>
      <w:r w:rsidR="00A12D51">
        <w:t xml:space="preserve"> pre-PAEA</w:t>
      </w:r>
      <w:r w:rsidR="004C6150">
        <w:t xml:space="preserve"> reporting </w:t>
      </w:r>
      <w:r w:rsidR="00A12D51">
        <w:t xml:space="preserve">structure in place with that structure forming the basis of the </w:t>
      </w:r>
      <w:r w:rsidR="00AC4F16">
        <w:t>analytical principles applied</w:t>
      </w:r>
      <w:r w:rsidR="006F135D">
        <w:t xml:space="preserve"> </w:t>
      </w:r>
      <w:r w:rsidR="00A3398B">
        <w:t>after the PAEA</w:t>
      </w:r>
      <w:r w:rsidR="00641B59">
        <w:t>’s enactment</w:t>
      </w:r>
      <w:r w:rsidR="00A3398B">
        <w:t>.</w:t>
      </w:r>
      <w:r w:rsidR="00833D89">
        <w:t xml:space="preserve"> </w:t>
      </w:r>
      <w:r w:rsidR="00FA5C1D">
        <w:t xml:space="preserve"> </w:t>
      </w:r>
      <w:r w:rsidR="00833D89">
        <w:rPr>
          <w:i/>
          <w:iCs/>
        </w:rPr>
        <w:t xml:space="preserve">See </w:t>
      </w:r>
      <w:r w:rsidR="00FA5C1D">
        <w:t xml:space="preserve">Docket No. </w:t>
      </w:r>
      <w:r w:rsidR="00833D89">
        <w:t>RM2008</w:t>
      </w:r>
      <w:r w:rsidR="008B5115">
        <w:t>-4, Notice of Final Rule Prescribing Form and Content of Periodic Reports, April 16, 2009, at 2 (Order No. 203) (</w:t>
      </w:r>
      <w:r w:rsidR="00651B2E">
        <w:t xml:space="preserve">stating that “[t]he Postal Service commends the rules for leaving the existing financial reporting structure essentially intact while adapting it from a subclass-based format to a product-based format.  It </w:t>
      </w:r>
      <w:r w:rsidR="002F4FC5">
        <w:t xml:space="preserve">notes that the fundamental building blocks of cost reporting will remain the same, separating accrued costs into segments, applying variability studies to form pools of attributable costs, and using data collection systems to distribute those pools to products, </w:t>
      </w:r>
      <w:r w:rsidR="00CD4060">
        <w:t>as summarized in the Cost and Revenue Analysis (CRA) Report and the Cost Segments and Components (CSC) Report.”).</w:t>
      </w:r>
    </w:p>
  </w:footnote>
  <w:footnote w:id="19">
    <w:p w14:paraId="56287FD0" w14:textId="72897F33" w:rsidR="00693D3A" w:rsidRDefault="00693D3A">
      <w:pPr>
        <w:pStyle w:val="FootnoteText"/>
      </w:pPr>
      <w:r>
        <w:rPr>
          <w:rStyle w:val="FootnoteReference"/>
        </w:rPr>
        <w:footnoteRef/>
      </w:r>
      <w:r>
        <w:t xml:space="preserve"> </w:t>
      </w:r>
      <w:r w:rsidRPr="00FD2C86">
        <w:t>Mailers' Motion and Petition at 6-8 (citing Docket No. RM2007-1, Initial Comments of the United States Postal Service on the Second Advance Notice of Proposed Rulemaking, June 18, 2007, at 29, 30 (Docket No. RM2007-1 Postal Service Comments)); PSA Response at 2 (citing Docket No. RM2007-1 Postal Service Comments at 29).</w:t>
      </w:r>
      <w:r w:rsidR="005306E5" w:rsidRPr="005306E5">
        <w:t xml:space="preserve"> </w:t>
      </w:r>
      <w:r w:rsidR="005306E5">
        <w:t xml:space="preserve"> </w:t>
      </w:r>
      <w:r w:rsidR="005306E5" w:rsidRPr="00FD2C86">
        <w:t>The Mailers also place emphasis on GAO statements on postal accounting; however, the Mailers do not provide any evidence of GAO’s statements resulting in the adoption of a particular analytical principle or otherwise influencing the accepted analytical principle</w:t>
      </w:r>
      <w:r w:rsidR="001D191C">
        <w:t>s</w:t>
      </w:r>
      <w:r w:rsidR="005306E5" w:rsidRPr="00FD2C86">
        <w:t xml:space="preserve"> applied by the Commission.  Mailers’ Motion and Petition at 7-8.</w:t>
      </w:r>
    </w:p>
  </w:footnote>
  <w:footnote w:id="20">
    <w:p w14:paraId="4F4D5771" w14:textId="2A60D02E" w:rsidR="00C9370E" w:rsidRDefault="00C9370E">
      <w:pPr>
        <w:pStyle w:val="FootnoteText"/>
      </w:pPr>
      <w:r>
        <w:rPr>
          <w:rStyle w:val="FootnoteReference"/>
        </w:rPr>
        <w:footnoteRef/>
      </w:r>
      <w:r>
        <w:t xml:space="preserve"> For example, </w:t>
      </w:r>
      <w:r w:rsidR="00E756D4">
        <w:t>accounting depreciation schedules may not align with the economic depreciation of certain capital assets.</w:t>
      </w:r>
    </w:p>
  </w:footnote>
  <w:footnote w:id="21">
    <w:p w14:paraId="6A98E7A8" w14:textId="62757945" w:rsidR="007B09CE" w:rsidRDefault="007B09CE" w:rsidP="007B09CE">
      <w:pPr>
        <w:pStyle w:val="FootnoteText"/>
      </w:pPr>
      <w:r w:rsidRPr="004C6B02">
        <w:rPr>
          <w:rStyle w:val="FootnoteReference"/>
        </w:rPr>
        <w:footnoteRef/>
      </w:r>
      <w:r w:rsidRPr="004C6B02">
        <w:t xml:space="preserve"> </w:t>
      </w:r>
      <w:r w:rsidRPr="004C6B02">
        <w:rPr>
          <w:color w:val="000000"/>
        </w:rPr>
        <w:t>Section 102(c)(1) of the PSRA repealed payments "required from the Postal Service under section 8909a of title 5, United States Code, as in effect on the day before the date of enactment of this Act that remains unpaid as of such date of enactment."</w:t>
      </w:r>
      <w:r w:rsidR="00080D33">
        <w:rPr>
          <w:color w:val="000000"/>
        </w:rPr>
        <w:t xml:space="preserve"> </w:t>
      </w:r>
      <w:r w:rsidR="00080D33" w:rsidRPr="00080D33">
        <w:t xml:space="preserve"> </w:t>
      </w:r>
      <w:r w:rsidR="002A02CC">
        <w:t xml:space="preserve">Postal Service Reform Act of 2022, Pub. </w:t>
      </w:r>
      <w:r w:rsidR="00080D33">
        <w:t>L. 117</w:t>
      </w:r>
      <w:r w:rsidR="00BA4AB7">
        <w:noBreakHyphen/>
      </w:r>
      <w:r w:rsidR="00080D33">
        <w:t xml:space="preserve">108, 136 Stat. </w:t>
      </w:r>
      <w:r w:rsidR="002A02CC">
        <w:t>1127 (2022)</w:t>
      </w:r>
      <w:r w:rsidR="00080D33">
        <w:t>.</w:t>
      </w:r>
    </w:p>
  </w:footnote>
  <w:footnote w:id="22">
    <w:p w14:paraId="27C47E2D" w14:textId="5F552907" w:rsidR="008B27F3" w:rsidRDefault="008B27F3" w:rsidP="00083CE0">
      <w:pPr>
        <w:pStyle w:val="FootnoteText"/>
      </w:pPr>
      <w:r>
        <w:rPr>
          <w:rStyle w:val="FootnoteReference"/>
        </w:rPr>
        <w:footnoteRef/>
      </w:r>
      <w:r>
        <w:t xml:space="preserve"> </w:t>
      </w:r>
      <w:r w:rsidR="00582C14">
        <w:t>OPM’s FY 2022 Agency Financial Report affirms this reversal.</w:t>
      </w:r>
      <w:r w:rsidR="00AC5ADC">
        <w:t xml:space="preserve">  </w:t>
      </w:r>
      <w:r w:rsidR="00582C14">
        <w:rPr>
          <w:i/>
          <w:iCs/>
        </w:rPr>
        <w:t xml:space="preserve">See </w:t>
      </w:r>
      <w:r w:rsidR="00582C14">
        <w:t xml:space="preserve">U.S. Office of Personnel Management, Agency Financial Report, Fiscal Year 2022, November 2022, at 69, available at </w:t>
      </w:r>
      <w:r w:rsidR="00582C14" w:rsidRPr="00582C14">
        <w:rPr>
          <w:i/>
          <w:iCs/>
        </w:rPr>
        <w:t>https://www.opm.gov/about-us/budget-performance/performance/2022-agency-financial-report.pdf</w:t>
      </w:r>
      <w:r w:rsidR="00577061">
        <w:t>,</w:t>
      </w:r>
      <w:r w:rsidR="00582C14">
        <w:t xml:space="preserve"> (stating “[t]he Postal Service Reform Act of 2022, P.L. 117-108, changes the method in which required payments into the PSRHBF are calculated, and cancelled the payments due from Postal Service under Section 8909a.</w:t>
      </w:r>
      <w:r w:rsidR="004D316D">
        <w:t xml:space="preserve">  </w:t>
      </w:r>
      <w:r w:rsidR="00582C14">
        <w:t>Pursuant to P.L. 117-108, OPM wrote off the $57 billion receivables due from the Postal Service to the PSRHB in FY 2022.</w:t>
      </w:r>
      <w:r w:rsidR="004D316D">
        <w:t xml:space="preserve">  </w:t>
      </w:r>
      <w:r w:rsidR="00582C14">
        <w:t>Additionally, FY 2022 accrued Postal Service receivables related to PSRHBF were reversed.”).</w:t>
      </w:r>
    </w:p>
  </w:footnote>
  <w:footnote w:id="23">
    <w:p w14:paraId="7C23938C" w14:textId="3416C0BD" w:rsidR="00B83577" w:rsidRDefault="009511CC">
      <w:pPr>
        <w:pStyle w:val="FootnoteText"/>
      </w:pPr>
      <w:r>
        <w:rPr>
          <w:rStyle w:val="FootnoteReference"/>
        </w:rPr>
        <w:footnoteRef/>
      </w:r>
      <w:r>
        <w:t xml:space="preserve"> </w:t>
      </w:r>
      <w:r w:rsidR="00107A62">
        <w:t>As stated above</w:t>
      </w:r>
      <w:r w:rsidR="00D6592D">
        <w:t>,</w:t>
      </w:r>
      <w:r w:rsidR="00D6592D" w:rsidRPr="00D6592D">
        <w:t xml:space="preserve"> </w:t>
      </w:r>
      <w:r w:rsidR="00D6592D">
        <w:t>the Postal Service’s accounting systems record the costs that accrue to the Postal Service each fiscal year</w:t>
      </w:r>
      <w:r w:rsidR="0028543C">
        <w:t xml:space="preserve"> and those costs </w:t>
      </w:r>
      <w:r w:rsidR="00FD1F31">
        <w:t>flow through to the CRA and Cost Segment and Component Reports (CSCs).</w:t>
      </w:r>
      <w:r w:rsidR="00257D9C">
        <w:t xml:space="preserve">  </w:t>
      </w:r>
      <w:r w:rsidR="00257D9C">
        <w:rPr>
          <w:i/>
          <w:iCs/>
        </w:rPr>
        <w:t xml:space="preserve">See </w:t>
      </w:r>
      <w:r w:rsidR="00257D9C">
        <w:t>n.1</w:t>
      </w:r>
      <w:r w:rsidR="00512434">
        <w:t>7</w:t>
      </w:r>
      <w:r w:rsidR="00257D9C">
        <w:t xml:space="preserve">, </w:t>
      </w:r>
      <w:r w:rsidR="00257D9C">
        <w:rPr>
          <w:i/>
          <w:iCs/>
        </w:rPr>
        <w:t>supra.</w:t>
      </w:r>
      <w:r w:rsidR="0065545D">
        <w:rPr>
          <w:i/>
          <w:iCs/>
        </w:rPr>
        <w:t xml:space="preserve">  </w:t>
      </w:r>
      <w:r w:rsidR="0065545D">
        <w:t>The Mailers acknowledge this in the Mailers’ Motion and Petition, stating</w:t>
      </w:r>
      <w:r w:rsidR="00B83577">
        <w:t xml:space="preserve"> that:</w:t>
      </w:r>
    </w:p>
    <w:p w14:paraId="263C7230" w14:textId="77D7B488" w:rsidR="00B83577" w:rsidRDefault="0061276E" w:rsidP="00B83577">
      <w:pPr>
        <w:pStyle w:val="FootnoteText"/>
        <w:spacing w:before="120"/>
        <w:ind w:left="1440" w:right="1440" w:firstLine="0"/>
      </w:pPr>
      <w:r>
        <w:t>[A]</w:t>
      </w:r>
      <w:proofErr w:type="spellStart"/>
      <w:r w:rsidR="00845063">
        <w:t>ccrued</w:t>
      </w:r>
      <w:proofErr w:type="spellEnd"/>
      <w:r w:rsidR="00845063">
        <w:t xml:space="preserve"> costs as reflected in the trial balance (submitted in each ACR and therefore an analytical principle) form the basis of cost</w:t>
      </w:r>
      <w:r w:rsidR="00F018B9">
        <w:t>s by cost segments and components.  The accrual in each segment in the trial balance matches exactly the segment cost in the cost segments and components (CSCs).</w:t>
      </w:r>
      <w:r w:rsidR="00CB2A25">
        <w:t xml:space="preserve">  This information forms the basis of the CRA and ACR upon which the Commission bases its annual compliance determinations.</w:t>
      </w:r>
    </w:p>
    <w:p w14:paraId="1891D57D" w14:textId="3B881A2A" w:rsidR="009511CC" w:rsidRPr="008B08C0" w:rsidRDefault="00CB2A25" w:rsidP="00B83577">
      <w:pPr>
        <w:pStyle w:val="FootnoteText"/>
        <w:ind w:firstLine="0"/>
      </w:pPr>
      <w:r>
        <w:t>Mailers’ Motion and Petition at 4.</w:t>
      </w:r>
      <w:r w:rsidR="00B04C03">
        <w:t xml:space="preserve">  Despite this </w:t>
      </w:r>
      <w:r w:rsidR="009D2E12">
        <w:t>understanding</w:t>
      </w:r>
      <w:r w:rsidR="00B04C03">
        <w:t>,</w:t>
      </w:r>
      <w:r w:rsidR="00111723">
        <w:t xml:space="preserve"> </w:t>
      </w:r>
      <w:r w:rsidR="00B04C03">
        <w:t>t</w:t>
      </w:r>
      <w:r w:rsidR="00632CC1">
        <w:t xml:space="preserve">he Mailers </w:t>
      </w:r>
      <w:r w:rsidR="006A20E8">
        <w:t xml:space="preserve">state that applying the FY 2021 </w:t>
      </w:r>
      <w:r w:rsidR="00BD691D">
        <w:t>C</w:t>
      </w:r>
      <w:r w:rsidR="006A20E8">
        <w:t xml:space="preserve">ost </w:t>
      </w:r>
      <w:r w:rsidR="00BD691D">
        <w:t>S</w:t>
      </w:r>
      <w:r w:rsidR="006A20E8">
        <w:t>egment 18 summary description in FY 2022</w:t>
      </w:r>
      <w:r w:rsidR="0065545D">
        <w:t xml:space="preserve"> necessitates</w:t>
      </w:r>
      <w:r w:rsidR="00C23198">
        <w:t xml:space="preserve"> accruing retiree health benefit normal costs </w:t>
      </w:r>
      <w:r w:rsidR="009C3541">
        <w:t xml:space="preserve">and attributing them.  </w:t>
      </w:r>
      <w:r w:rsidR="009C3541">
        <w:rPr>
          <w:i/>
          <w:iCs/>
        </w:rPr>
        <w:t>Id.</w:t>
      </w:r>
      <w:r w:rsidR="009C3541">
        <w:t xml:space="preserve"> at 5. </w:t>
      </w:r>
      <w:r w:rsidR="0065545D">
        <w:t xml:space="preserve"> </w:t>
      </w:r>
      <w:r w:rsidR="00111723">
        <w:t xml:space="preserve">As the Postal Service </w:t>
      </w:r>
      <w:r w:rsidR="004E19CE">
        <w:t>explains</w:t>
      </w:r>
      <w:r w:rsidR="00111723">
        <w:t>, a</w:t>
      </w:r>
      <w:r w:rsidR="007B6F57">
        <w:t xml:space="preserve">pplying the FY 2021 methodology </w:t>
      </w:r>
      <w:r w:rsidR="00607066">
        <w:t xml:space="preserve">as the Mailers propose </w:t>
      </w:r>
      <w:r w:rsidR="007B6F57">
        <w:t>in FY 2022 results</w:t>
      </w:r>
      <w:r w:rsidR="00607066">
        <w:t xml:space="preserve"> in </w:t>
      </w:r>
      <w:r w:rsidR="00257D9C">
        <w:t>“no costs to apportion between attributable and institutional”</w:t>
      </w:r>
      <w:r w:rsidR="00115895">
        <w:t xml:space="preserve"> because as the FY 2021 </w:t>
      </w:r>
      <w:r w:rsidR="00EC1A7F">
        <w:t>C</w:t>
      </w:r>
      <w:r w:rsidR="00115895">
        <w:t xml:space="preserve">ost </w:t>
      </w:r>
      <w:r w:rsidR="00EC1A7F">
        <w:t xml:space="preserve">Segment </w:t>
      </w:r>
      <w:r w:rsidR="00115895">
        <w:t>18 summary description makes clear,</w:t>
      </w:r>
      <w:r w:rsidR="00BE32A8">
        <w:t xml:space="preserve"> the actual entry in the component from which the costs are derived is zero.</w:t>
      </w:r>
      <w:r w:rsidR="00257D9C">
        <w:t xml:space="preserve">  Postal Service Response at 4.</w:t>
      </w:r>
      <w:r w:rsidR="008B08C0">
        <w:t xml:space="preserve">  </w:t>
      </w:r>
      <w:r w:rsidR="008B08C0">
        <w:rPr>
          <w:i/>
          <w:iCs/>
        </w:rPr>
        <w:t xml:space="preserve">See </w:t>
      </w:r>
      <w:r w:rsidR="009E6B99">
        <w:t>Docket No.</w:t>
      </w:r>
      <w:r w:rsidR="005E3D08">
        <w:t> </w:t>
      </w:r>
      <w:r w:rsidR="009E6B99">
        <w:t xml:space="preserve">ACR2022, Response of the United States Postal Service in Opposition to Mailers’ Motion Seeking Information Request, January 19, 2023, at </w:t>
      </w:r>
      <w:r w:rsidR="00F246FE">
        <w:t>4-5.</w:t>
      </w:r>
    </w:p>
  </w:footnote>
  <w:footnote w:id="24">
    <w:p w14:paraId="775426B4" w14:textId="6E3F8DE9" w:rsidR="00BE70A1" w:rsidRPr="004C6B02" w:rsidRDefault="00BE70A1" w:rsidP="00F11D2C">
      <w:pPr>
        <w:pStyle w:val="FootnoteText"/>
      </w:pPr>
      <w:r w:rsidRPr="004C6B02">
        <w:rPr>
          <w:rStyle w:val="FootnoteReference"/>
        </w:rPr>
        <w:footnoteRef/>
      </w:r>
      <w:r w:rsidRPr="004C6B02">
        <w:t xml:space="preserve"> Continuing Appropriations Resolution, 2010, Pub. L. 111-68, 123 Stat. 2023 (2009</w:t>
      </w:r>
      <w:r w:rsidR="0032183F">
        <w:t>);</w:t>
      </w:r>
      <w:r w:rsidR="0032183F" w:rsidRPr="0032183F">
        <w:t xml:space="preserve"> </w:t>
      </w:r>
      <w:r w:rsidR="0032183F" w:rsidRPr="004C6B02">
        <w:t>Continuing Appropriations Act, 2012, Pub. L. 112-33, 125 Stat. 363 (2011)</w:t>
      </w:r>
      <w:r w:rsidRPr="004C6B02">
        <w:t>.</w:t>
      </w:r>
    </w:p>
  </w:footnote>
  <w:footnote w:id="25">
    <w:p w14:paraId="49767024" w14:textId="4F549905" w:rsidR="005E51D9" w:rsidRPr="005E51D9" w:rsidRDefault="005E51D9">
      <w:pPr>
        <w:pStyle w:val="FootnoteText"/>
      </w:pPr>
      <w:r>
        <w:rPr>
          <w:rStyle w:val="FootnoteReference"/>
        </w:rPr>
        <w:footnoteRef/>
      </w:r>
      <w:r>
        <w:t xml:space="preserve"> </w:t>
      </w:r>
      <w:r>
        <w:rPr>
          <w:i/>
          <w:iCs/>
        </w:rPr>
        <w:t>See</w:t>
      </w:r>
      <w:r w:rsidR="006A75B0">
        <w:rPr>
          <w:i/>
          <w:iCs/>
        </w:rPr>
        <w:t>, e.g.,</w:t>
      </w:r>
      <w:r>
        <w:rPr>
          <w:i/>
          <w:iCs/>
        </w:rPr>
        <w:t xml:space="preserve"> </w:t>
      </w:r>
      <w:r>
        <w:t xml:space="preserve">Order No. 6363 at </w:t>
      </w:r>
      <w:r w:rsidR="006A75B0">
        <w:t>10-11; Docket No. RM2023-2</w:t>
      </w:r>
      <w:r w:rsidR="00AA39B4">
        <w:t>, Petition of the United States Postal Service for the Initiation of a Proceeding to Consider Proposed Changes in Analytical Principles (Proposal Seven), December 12, 2022.</w:t>
      </w:r>
    </w:p>
  </w:footnote>
  <w:footnote w:id="26">
    <w:p w14:paraId="5FDB148E" w14:textId="11BAB012" w:rsidR="009F58D1" w:rsidRDefault="009F58D1" w:rsidP="009F58D1">
      <w:pPr>
        <w:pStyle w:val="FootnoteText"/>
      </w:pPr>
      <w:r>
        <w:rPr>
          <w:rStyle w:val="FootnoteReference"/>
        </w:rPr>
        <w:footnoteRef/>
      </w:r>
      <w:r>
        <w:t xml:space="preserve"> Mailers’ Motion and Petition at 11-12; PSA Response at 1-3; Postal Service Response at 7-12; Mailers’ Reply Comments at 2-3.</w:t>
      </w:r>
    </w:p>
  </w:footnote>
  <w:footnote w:id="27">
    <w:p w14:paraId="076DB85F" w14:textId="4F996D1E" w:rsidR="0006672B" w:rsidRDefault="0006672B">
      <w:pPr>
        <w:pStyle w:val="FootnoteText"/>
      </w:pPr>
      <w:r>
        <w:rPr>
          <w:rStyle w:val="FootnoteReference"/>
        </w:rPr>
        <w:footnoteRef/>
      </w:r>
      <w:r>
        <w:t xml:space="preserve"> </w:t>
      </w:r>
      <w:r w:rsidRPr="004E2937">
        <w:t xml:space="preserve">This comment </w:t>
      </w:r>
      <w:r w:rsidR="00216C41" w:rsidRPr="004E2937">
        <w:t>deadline is set consistently with the 2-week deadline envisioned in Order No.</w:t>
      </w:r>
      <w:r w:rsidR="00B33020">
        <w:t> </w:t>
      </w:r>
      <w:r w:rsidR="00216C41" w:rsidRPr="004E2937">
        <w:t>6363.  Order No. 6363 at 11, n.17.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C0B7" w14:textId="416EA83C" w:rsidR="00D46231" w:rsidRDefault="00213775">
    <w:pPr>
      <w:pStyle w:val="Header"/>
    </w:pPr>
    <w:r>
      <w:rPr>
        <w:noProof/>
      </w:rPr>
      <mc:AlternateContent>
        <mc:Choice Requires="wps">
          <w:drawing>
            <wp:anchor distT="0" distB="0" distL="114300" distR="114300" simplePos="0" relativeHeight="251658240" behindDoc="1" locked="0" layoutInCell="0" allowOverlap="1" wp14:anchorId="7918C0F5" wp14:editId="135CC85B">
              <wp:simplePos x="0" y="0"/>
              <wp:positionH relativeFrom="margin">
                <wp:align>center</wp:align>
              </wp:positionH>
              <wp:positionV relativeFrom="margin">
                <wp:align>center</wp:align>
              </wp:positionV>
              <wp:extent cx="5985510" cy="2393950"/>
              <wp:effectExtent l="0" t="0" r="0" b="0"/>
              <wp:wrapNone/>
              <wp:docPr id="3" name="PowerPlusWaterMarkObject39340068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DE9B3" w14:textId="77777777" w:rsidR="00213775" w:rsidRDefault="00213775" w:rsidP="00213775">
                          <w:pPr>
                            <w:jc w:val="center"/>
                            <w:rPr>
                              <w:color w:val="A6A6A6" w:themeColor="background1" w:themeShade="A6"/>
                              <w:sz w:val="16"/>
                              <w:szCs w:val="16"/>
                            </w:rPr>
                          </w:pPr>
                          <w:r>
                            <w:rPr>
                              <w:color w:val="A6A6A6" w:themeColor="background1" w:themeShade="A6"/>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18C0F5" id="_x0000_t202" coordsize="21600,21600" o:spt="202" path="m,l,21600r21600,l21600,xe">
              <v:stroke joinstyle="miter"/>
              <v:path gradientshapeok="t" o:connecttype="rect"/>
            </v:shapetype>
            <v:shape id="PowerPlusWaterMarkObject393400688" o:spid="_x0000_s1026"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3A9DE9B3" w14:textId="77777777" w:rsidR="00213775" w:rsidRDefault="00213775" w:rsidP="00213775">
                    <w:pPr>
                      <w:jc w:val="center"/>
                      <w:rPr>
                        <w:color w:val="A6A6A6" w:themeColor="background1" w:themeShade="A6"/>
                        <w:sz w:val="16"/>
                        <w:szCs w:val="16"/>
                      </w:rPr>
                    </w:pPr>
                    <w:r>
                      <w:rPr>
                        <w:color w:val="A6A6A6" w:themeColor="background1" w:themeShade="A6"/>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2429" w14:textId="61659122" w:rsidR="00657842" w:rsidRDefault="00327EFA" w:rsidP="00657842">
    <w:pPr>
      <w:pStyle w:val="Header"/>
      <w:ind w:firstLine="0"/>
      <w:rPr>
        <w:sz w:val="20"/>
        <w:szCs w:val="20"/>
      </w:rPr>
    </w:pPr>
    <w:r>
      <w:rPr>
        <w:sz w:val="20"/>
        <w:szCs w:val="20"/>
      </w:rPr>
      <w:t>Docket No</w:t>
    </w:r>
    <w:r w:rsidR="00F8701D">
      <w:rPr>
        <w:sz w:val="20"/>
        <w:szCs w:val="20"/>
      </w:rPr>
      <w:t>s</w:t>
    </w:r>
    <w:r>
      <w:rPr>
        <w:sz w:val="20"/>
        <w:szCs w:val="20"/>
      </w:rPr>
      <w:t xml:space="preserve">. </w:t>
    </w:r>
    <w:r w:rsidR="00D5208B">
      <w:rPr>
        <w:sz w:val="20"/>
        <w:szCs w:val="20"/>
      </w:rPr>
      <w:t>RM202</w:t>
    </w:r>
    <w:r w:rsidR="00F63D8B">
      <w:rPr>
        <w:sz w:val="20"/>
        <w:szCs w:val="20"/>
      </w:rPr>
      <w:t>3-1</w:t>
    </w:r>
    <w:r w:rsidR="00657842">
      <w:rPr>
        <w:sz w:val="20"/>
        <w:szCs w:val="20"/>
      </w:rPr>
      <w:tab/>
      <w:t xml:space="preserve">- </w:t>
    </w:r>
    <w:r w:rsidR="008C156E" w:rsidRPr="00657842">
      <w:rPr>
        <w:sz w:val="20"/>
        <w:szCs w:val="20"/>
      </w:rPr>
      <w:fldChar w:fldCharType="begin"/>
    </w:r>
    <w:r w:rsidR="00657842" w:rsidRPr="00657842">
      <w:rPr>
        <w:sz w:val="20"/>
        <w:szCs w:val="20"/>
      </w:rPr>
      <w:instrText xml:space="preserve"> PAGE   \* MERGEFORMAT </w:instrText>
    </w:r>
    <w:r w:rsidR="008C156E" w:rsidRPr="00657842">
      <w:rPr>
        <w:sz w:val="20"/>
        <w:szCs w:val="20"/>
      </w:rPr>
      <w:fldChar w:fldCharType="separate"/>
    </w:r>
    <w:r w:rsidR="00826280">
      <w:rPr>
        <w:noProof/>
        <w:sz w:val="20"/>
        <w:szCs w:val="20"/>
      </w:rPr>
      <w:t>2</w:t>
    </w:r>
    <w:r w:rsidR="008C156E" w:rsidRPr="00657842">
      <w:rPr>
        <w:sz w:val="20"/>
        <w:szCs w:val="20"/>
      </w:rPr>
      <w:fldChar w:fldCharType="end"/>
    </w:r>
    <w:r w:rsidR="00657842">
      <w:rPr>
        <w:sz w:val="20"/>
        <w:szCs w:val="20"/>
      </w:rPr>
      <w:t xml:space="preserve"> -</w:t>
    </w:r>
    <w:r w:rsidR="001515AF">
      <w:rPr>
        <w:sz w:val="20"/>
        <w:szCs w:val="20"/>
      </w:rPr>
      <w:tab/>
      <w:t xml:space="preserve">Order No. </w:t>
    </w:r>
    <w:r w:rsidR="00146370">
      <w:rPr>
        <w:sz w:val="20"/>
        <w:szCs w:val="20"/>
      </w:rPr>
      <w:t>6430</w:t>
    </w:r>
  </w:p>
  <w:p w14:paraId="4C1A6167" w14:textId="44F2ACE2" w:rsidR="00F8701D" w:rsidRDefault="00F8701D" w:rsidP="00657842">
    <w:pPr>
      <w:pStyle w:val="Header"/>
      <w:ind w:firstLine="0"/>
      <w:rPr>
        <w:sz w:val="20"/>
        <w:szCs w:val="20"/>
      </w:rPr>
    </w:pPr>
    <w:r>
      <w:rPr>
        <w:sz w:val="20"/>
        <w:szCs w:val="20"/>
      </w:rPr>
      <w:t xml:space="preserve">                     RM2023-3</w:t>
    </w:r>
  </w:p>
  <w:p w14:paraId="23E302C7" w14:textId="77777777" w:rsidR="00657842" w:rsidRDefault="00657842" w:rsidP="00657842">
    <w:pPr>
      <w:pStyle w:val="Header"/>
      <w:ind w:firstLine="0"/>
      <w:rPr>
        <w:sz w:val="20"/>
        <w:szCs w:val="20"/>
      </w:rPr>
    </w:pPr>
  </w:p>
  <w:p w14:paraId="0DA0F3C6" w14:textId="77777777" w:rsidR="00657842" w:rsidRPr="00657842" w:rsidRDefault="00657842" w:rsidP="00657842">
    <w:pPr>
      <w:pStyle w:val="Header"/>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2A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B047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4CF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38C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4EF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207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A8ED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32D8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E6D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547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11AAB"/>
    <w:multiLevelType w:val="hybridMultilevel"/>
    <w:tmpl w:val="F30CC18C"/>
    <w:lvl w:ilvl="0" w:tplc="9A486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3714E3"/>
    <w:multiLevelType w:val="hybridMultilevel"/>
    <w:tmpl w:val="EB12A5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D785C2B"/>
    <w:multiLevelType w:val="hybridMultilevel"/>
    <w:tmpl w:val="5EB48072"/>
    <w:lvl w:ilvl="0" w:tplc="3DA0A2DE">
      <w:start w:val="1"/>
      <w:numFmt w:val="upperLetter"/>
      <w:pStyle w:val="Heading2"/>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134996"/>
    <w:multiLevelType w:val="hybridMultilevel"/>
    <w:tmpl w:val="DFD699F4"/>
    <w:lvl w:ilvl="0" w:tplc="09568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107BC2"/>
    <w:multiLevelType w:val="hybridMultilevel"/>
    <w:tmpl w:val="8F900BC2"/>
    <w:lvl w:ilvl="0" w:tplc="16D41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729711">
    <w:abstractNumId w:val="14"/>
  </w:num>
  <w:num w:numId="2" w16cid:durableId="85077467">
    <w:abstractNumId w:val="11"/>
  </w:num>
  <w:num w:numId="3" w16cid:durableId="5254974">
    <w:abstractNumId w:val="15"/>
  </w:num>
  <w:num w:numId="4" w16cid:durableId="985359381">
    <w:abstractNumId w:val="10"/>
  </w:num>
  <w:num w:numId="5" w16cid:durableId="613757957">
    <w:abstractNumId w:val="9"/>
  </w:num>
  <w:num w:numId="6" w16cid:durableId="252595849">
    <w:abstractNumId w:val="7"/>
  </w:num>
  <w:num w:numId="7" w16cid:durableId="1782871015">
    <w:abstractNumId w:val="6"/>
  </w:num>
  <w:num w:numId="8" w16cid:durableId="2117213329">
    <w:abstractNumId w:val="5"/>
  </w:num>
  <w:num w:numId="9" w16cid:durableId="1370686076">
    <w:abstractNumId w:val="4"/>
  </w:num>
  <w:num w:numId="10" w16cid:durableId="1123188647">
    <w:abstractNumId w:val="8"/>
  </w:num>
  <w:num w:numId="11" w16cid:durableId="930166361">
    <w:abstractNumId w:val="3"/>
  </w:num>
  <w:num w:numId="12" w16cid:durableId="1494956325">
    <w:abstractNumId w:val="2"/>
  </w:num>
  <w:num w:numId="13" w16cid:durableId="763842693">
    <w:abstractNumId w:val="1"/>
  </w:num>
  <w:num w:numId="14" w16cid:durableId="1036471363">
    <w:abstractNumId w:val="0"/>
  </w:num>
  <w:num w:numId="15" w16cid:durableId="1215507213">
    <w:abstractNumId w:val="12"/>
  </w:num>
  <w:num w:numId="16" w16cid:durableId="1635059827">
    <w:abstractNumId w:val="13"/>
  </w:num>
  <w:num w:numId="17" w16cid:durableId="1818374436">
    <w:abstractNumId w:val="12"/>
    <w:lvlOverride w:ilvl="0">
      <w:startOverride w:val="1"/>
    </w:lvlOverride>
  </w:num>
  <w:num w:numId="18" w16cid:durableId="1829203571">
    <w:abstractNumId w:val="12"/>
    <w:lvlOverride w:ilvl="0">
      <w:startOverride w:val="1"/>
    </w:lvlOverride>
  </w:num>
  <w:num w:numId="19" w16cid:durableId="683469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2"/>
    <w:rsid w:val="000009C8"/>
    <w:rsid w:val="00001307"/>
    <w:rsid w:val="00001B75"/>
    <w:rsid w:val="0000285E"/>
    <w:rsid w:val="00003287"/>
    <w:rsid w:val="00003FB3"/>
    <w:rsid w:val="00004DE2"/>
    <w:rsid w:val="0000618E"/>
    <w:rsid w:val="0000670B"/>
    <w:rsid w:val="000068DF"/>
    <w:rsid w:val="000071B1"/>
    <w:rsid w:val="0000723A"/>
    <w:rsid w:val="000073B9"/>
    <w:rsid w:val="00010F99"/>
    <w:rsid w:val="000124FC"/>
    <w:rsid w:val="00013432"/>
    <w:rsid w:val="00013519"/>
    <w:rsid w:val="00013BB5"/>
    <w:rsid w:val="00014167"/>
    <w:rsid w:val="0001444A"/>
    <w:rsid w:val="0001457F"/>
    <w:rsid w:val="000145FA"/>
    <w:rsid w:val="00015BF5"/>
    <w:rsid w:val="00015C1C"/>
    <w:rsid w:val="00015C55"/>
    <w:rsid w:val="00016DE6"/>
    <w:rsid w:val="0001722F"/>
    <w:rsid w:val="00017290"/>
    <w:rsid w:val="000176A4"/>
    <w:rsid w:val="0001798B"/>
    <w:rsid w:val="00017C2B"/>
    <w:rsid w:val="00020183"/>
    <w:rsid w:val="00020ECE"/>
    <w:rsid w:val="00020F3A"/>
    <w:rsid w:val="00021245"/>
    <w:rsid w:val="000213EC"/>
    <w:rsid w:val="000216C5"/>
    <w:rsid w:val="0002175E"/>
    <w:rsid w:val="00021E1B"/>
    <w:rsid w:val="000229F5"/>
    <w:rsid w:val="00023504"/>
    <w:rsid w:val="00024549"/>
    <w:rsid w:val="0002456B"/>
    <w:rsid w:val="000257E7"/>
    <w:rsid w:val="00026D9D"/>
    <w:rsid w:val="000271D0"/>
    <w:rsid w:val="0002740D"/>
    <w:rsid w:val="00027547"/>
    <w:rsid w:val="00027666"/>
    <w:rsid w:val="00030C23"/>
    <w:rsid w:val="00031263"/>
    <w:rsid w:val="0003287E"/>
    <w:rsid w:val="00034CAE"/>
    <w:rsid w:val="00034E1D"/>
    <w:rsid w:val="000359AC"/>
    <w:rsid w:val="000363F9"/>
    <w:rsid w:val="00036B60"/>
    <w:rsid w:val="00037036"/>
    <w:rsid w:val="000378ED"/>
    <w:rsid w:val="00040100"/>
    <w:rsid w:val="00042B7A"/>
    <w:rsid w:val="00044A6D"/>
    <w:rsid w:val="0004519C"/>
    <w:rsid w:val="00045488"/>
    <w:rsid w:val="00047715"/>
    <w:rsid w:val="000504DE"/>
    <w:rsid w:val="0005052D"/>
    <w:rsid w:val="000507EC"/>
    <w:rsid w:val="00050FCE"/>
    <w:rsid w:val="00051082"/>
    <w:rsid w:val="000518AE"/>
    <w:rsid w:val="00052305"/>
    <w:rsid w:val="0005296C"/>
    <w:rsid w:val="00052C13"/>
    <w:rsid w:val="00052D07"/>
    <w:rsid w:val="00054664"/>
    <w:rsid w:val="00055148"/>
    <w:rsid w:val="00055427"/>
    <w:rsid w:val="00055761"/>
    <w:rsid w:val="00056D18"/>
    <w:rsid w:val="00056EDA"/>
    <w:rsid w:val="00057423"/>
    <w:rsid w:val="000576BB"/>
    <w:rsid w:val="00057B4A"/>
    <w:rsid w:val="00057E22"/>
    <w:rsid w:val="0006155A"/>
    <w:rsid w:val="000619CF"/>
    <w:rsid w:val="00061E3A"/>
    <w:rsid w:val="00061FDD"/>
    <w:rsid w:val="00062E9E"/>
    <w:rsid w:val="00063568"/>
    <w:rsid w:val="00063FFA"/>
    <w:rsid w:val="00064011"/>
    <w:rsid w:val="0006551A"/>
    <w:rsid w:val="0006604B"/>
    <w:rsid w:val="00066131"/>
    <w:rsid w:val="0006672B"/>
    <w:rsid w:val="00067A71"/>
    <w:rsid w:val="00067E27"/>
    <w:rsid w:val="00067E56"/>
    <w:rsid w:val="000700EC"/>
    <w:rsid w:val="00070AA1"/>
    <w:rsid w:val="000718D0"/>
    <w:rsid w:val="00072517"/>
    <w:rsid w:val="0007278D"/>
    <w:rsid w:val="00072AC6"/>
    <w:rsid w:val="00072B5F"/>
    <w:rsid w:val="00075151"/>
    <w:rsid w:val="0007537A"/>
    <w:rsid w:val="000758CB"/>
    <w:rsid w:val="000758FC"/>
    <w:rsid w:val="00075E08"/>
    <w:rsid w:val="000761AF"/>
    <w:rsid w:val="000767E1"/>
    <w:rsid w:val="00077B59"/>
    <w:rsid w:val="000804A7"/>
    <w:rsid w:val="00080D33"/>
    <w:rsid w:val="00081399"/>
    <w:rsid w:val="00081409"/>
    <w:rsid w:val="00082FE8"/>
    <w:rsid w:val="000836D7"/>
    <w:rsid w:val="00083C2F"/>
    <w:rsid w:val="00083CE0"/>
    <w:rsid w:val="00083E90"/>
    <w:rsid w:val="0008427E"/>
    <w:rsid w:val="00085047"/>
    <w:rsid w:val="00085E30"/>
    <w:rsid w:val="00087615"/>
    <w:rsid w:val="00090EF0"/>
    <w:rsid w:val="00092B4A"/>
    <w:rsid w:val="00093774"/>
    <w:rsid w:val="00093A6A"/>
    <w:rsid w:val="00093ECA"/>
    <w:rsid w:val="00094986"/>
    <w:rsid w:val="00094DEA"/>
    <w:rsid w:val="00095362"/>
    <w:rsid w:val="00095575"/>
    <w:rsid w:val="00095B85"/>
    <w:rsid w:val="00096156"/>
    <w:rsid w:val="000964BD"/>
    <w:rsid w:val="0009658F"/>
    <w:rsid w:val="00096BE2"/>
    <w:rsid w:val="00096EC3"/>
    <w:rsid w:val="000A011D"/>
    <w:rsid w:val="000A0F8B"/>
    <w:rsid w:val="000A1617"/>
    <w:rsid w:val="000A16CF"/>
    <w:rsid w:val="000A23E3"/>
    <w:rsid w:val="000A3C58"/>
    <w:rsid w:val="000A405E"/>
    <w:rsid w:val="000A471A"/>
    <w:rsid w:val="000A4A05"/>
    <w:rsid w:val="000A4D98"/>
    <w:rsid w:val="000A4DD5"/>
    <w:rsid w:val="000A506F"/>
    <w:rsid w:val="000A6630"/>
    <w:rsid w:val="000A67C1"/>
    <w:rsid w:val="000A6AFA"/>
    <w:rsid w:val="000A6C9F"/>
    <w:rsid w:val="000A7469"/>
    <w:rsid w:val="000A7CCC"/>
    <w:rsid w:val="000B0C86"/>
    <w:rsid w:val="000B0D6B"/>
    <w:rsid w:val="000B1848"/>
    <w:rsid w:val="000B1E2C"/>
    <w:rsid w:val="000B29D1"/>
    <w:rsid w:val="000B2FA7"/>
    <w:rsid w:val="000B5374"/>
    <w:rsid w:val="000B5701"/>
    <w:rsid w:val="000B5A7A"/>
    <w:rsid w:val="000B659A"/>
    <w:rsid w:val="000B66BC"/>
    <w:rsid w:val="000B6DE3"/>
    <w:rsid w:val="000B72D8"/>
    <w:rsid w:val="000C0B92"/>
    <w:rsid w:val="000C1096"/>
    <w:rsid w:val="000C26DF"/>
    <w:rsid w:val="000C2713"/>
    <w:rsid w:val="000C3C63"/>
    <w:rsid w:val="000C4572"/>
    <w:rsid w:val="000C52FC"/>
    <w:rsid w:val="000C785D"/>
    <w:rsid w:val="000D16A3"/>
    <w:rsid w:val="000D21CB"/>
    <w:rsid w:val="000D3AB9"/>
    <w:rsid w:val="000D51A0"/>
    <w:rsid w:val="000D5364"/>
    <w:rsid w:val="000D5721"/>
    <w:rsid w:val="000D5BAB"/>
    <w:rsid w:val="000D6C64"/>
    <w:rsid w:val="000D6E26"/>
    <w:rsid w:val="000D72FA"/>
    <w:rsid w:val="000D7340"/>
    <w:rsid w:val="000E033E"/>
    <w:rsid w:val="000E0406"/>
    <w:rsid w:val="000E1678"/>
    <w:rsid w:val="000E1A2B"/>
    <w:rsid w:val="000E22DD"/>
    <w:rsid w:val="000E3A40"/>
    <w:rsid w:val="000E42D5"/>
    <w:rsid w:val="000E4673"/>
    <w:rsid w:val="000E49F0"/>
    <w:rsid w:val="000E5927"/>
    <w:rsid w:val="000E732E"/>
    <w:rsid w:val="000E7E58"/>
    <w:rsid w:val="000E7E5E"/>
    <w:rsid w:val="000F0527"/>
    <w:rsid w:val="000F05AE"/>
    <w:rsid w:val="000F10A1"/>
    <w:rsid w:val="000F1817"/>
    <w:rsid w:val="000F1853"/>
    <w:rsid w:val="000F2C56"/>
    <w:rsid w:val="000F3727"/>
    <w:rsid w:val="000F444D"/>
    <w:rsid w:val="000F469F"/>
    <w:rsid w:val="000F4E58"/>
    <w:rsid w:val="000F55C8"/>
    <w:rsid w:val="000F5CEF"/>
    <w:rsid w:val="000F7BDC"/>
    <w:rsid w:val="000F7F25"/>
    <w:rsid w:val="00100750"/>
    <w:rsid w:val="00100C06"/>
    <w:rsid w:val="00100DA2"/>
    <w:rsid w:val="00101C66"/>
    <w:rsid w:val="00102230"/>
    <w:rsid w:val="00102235"/>
    <w:rsid w:val="00102B6B"/>
    <w:rsid w:val="00102CB5"/>
    <w:rsid w:val="00103760"/>
    <w:rsid w:val="00103EB4"/>
    <w:rsid w:val="001042FF"/>
    <w:rsid w:val="0010597A"/>
    <w:rsid w:val="0010633C"/>
    <w:rsid w:val="00106362"/>
    <w:rsid w:val="00106B55"/>
    <w:rsid w:val="001070DF"/>
    <w:rsid w:val="00107158"/>
    <w:rsid w:val="00107599"/>
    <w:rsid w:val="00107783"/>
    <w:rsid w:val="00107A62"/>
    <w:rsid w:val="00107A86"/>
    <w:rsid w:val="00107C11"/>
    <w:rsid w:val="0011165B"/>
    <w:rsid w:val="00111723"/>
    <w:rsid w:val="00111949"/>
    <w:rsid w:val="00111AD6"/>
    <w:rsid w:val="00112770"/>
    <w:rsid w:val="00112D19"/>
    <w:rsid w:val="00112E70"/>
    <w:rsid w:val="00112FFF"/>
    <w:rsid w:val="001132B0"/>
    <w:rsid w:val="00114304"/>
    <w:rsid w:val="001148F2"/>
    <w:rsid w:val="001151EA"/>
    <w:rsid w:val="00115895"/>
    <w:rsid w:val="00116153"/>
    <w:rsid w:val="00116558"/>
    <w:rsid w:val="001165B3"/>
    <w:rsid w:val="001175E9"/>
    <w:rsid w:val="00120DE7"/>
    <w:rsid w:val="00120E0B"/>
    <w:rsid w:val="00120E5F"/>
    <w:rsid w:val="0012180D"/>
    <w:rsid w:val="00121D08"/>
    <w:rsid w:val="00122358"/>
    <w:rsid w:val="00122848"/>
    <w:rsid w:val="00122B9B"/>
    <w:rsid w:val="00122E7E"/>
    <w:rsid w:val="00122F58"/>
    <w:rsid w:val="001231EE"/>
    <w:rsid w:val="0012321C"/>
    <w:rsid w:val="00124ECF"/>
    <w:rsid w:val="001251BB"/>
    <w:rsid w:val="00125916"/>
    <w:rsid w:val="00125F22"/>
    <w:rsid w:val="00126376"/>
    <w:rsid w:val="00126510"/>
    <w:rsid w:val="00126748"/>
    <w:rsid w:val="00127811"/>
    <w:rsid w:val="00130074"/>
    <w:rsid w:val="00130944"/>
    <w:rsid w:val="00130C67"/>
    <w:rsid w:val="00131686"/>
    <w:rsid w:val="00131733"/>
    <w:rsid w:val="001318F8"/>
    <w:rsid w:val="0013249C"/>
    <w:rsid w:val="00132A08"/>
    <w:rsid w:val="00133EA0"/>
    <w:rsid w:val="00133F54"/>
    <w:rsid w:val="00134530"/>
    <w:rsid w:val="001348B7"/>
    <w:rsid w:val="00135107"/>
    <w:rsid w:val="0013585E"/>
    <w:rsid w:val="00135E1B"/>
    <w:rsid w:val="00136879"/>
    <w:rsid w:val="00136AE3"/>
    <w:rsid w:val="001375EE"/>
    <w:rsid w:val="0013FDB2"/>
    <w:rsid w:val="0014095A"/>
    <w:rsid w:val="00140B48"/>
    <w:rsid w:val="00140B52"/>
    <w:rsid w:val="001411EA"/>
    <w:rsid w:val="001417A3"/>
    <w:rsid w:val="00141BDB"/>
    <w:rsid w:val="00141D5B"/>
    <w:rsid w:val="0014224B"/>
    <w:rsid w:val="0014250D"/>
    <w:rsid w:val="001436FD"/>
    <w:rsid w:val="00144182"/>
    <w:rsid w:val="00144841"/>
    <w:rsid w:val="00144922"/>
    <w:rsid w:val="0014505C"/>
    <w:rsid w:val="00145A5B"/>
    <w:rsid w:val="00145E0D"/>
    <w:rsid w:val="00146370"/>
    <w:rsid w:val="00146536"/>
    <w:rsid w:val="00146AAA"/>
    <w:rsid w:val="00146EBF"/>
    <w:rsid w:val="001474B8"/>
    <w:rsid w:val="001478CD"/>
    <w:rsid w:val="00147FF0"/>
    <w:rsid w:val="001509C2"/>
    <w:rsid w:val="001515AF"/>
    <w:rsid w:val="00151D3F"/>
    <w:rsid w:val="00151E1F"/>
    <w:rsid w:val="00151E43"/>
    <w:rsid w:val="0015221D"/>
    <w:rsid w:val="00152232"/>
    <w:rsid w:val="001526D4"/>
    <w:rsid w:val="00152CCB"/>
    <w:rsid w:val="00152EA9"/>
    <w:rsid w:val="0015379E"/>
    <w:rsid w:val="001539FE"/>
    <w:rsid w:val="00153A89"/>
    <w:rsid w:val="00153B58"/>
    <w:rsid w:val="001545F6"/>
    <w:rsid w:val="0015492A"/>
    <w:rsid w:val="00155BF2"/>
    <w:rsid w:val="00156004"/>
    <w:rsid w:val="001565B7"/>
    <w:rsid w:val="0015777C"/>
    <w:rsid w:val="001578EF"/>
    <w:rsid w:val="00160A58"/>
    <w:rsid w:val="001611B2"/>
    <w:rsid w:val="001616A7"/>
    <w:rsid w:val="001617C9"/>
    <w:rsid w:val="001617CB"/>
    <w:rsid w:val="00162494"/>
    <w:rsid w:val="001626E9"/>
    <w:rsid w:val="00162DF1"/>
    <w:rsid w:val="0016438D"/>
    <w:rsid w:val="00164802"/>
    <w:rsid w:val="00164A6D"/>
    <w:rsid w:val="001650A2"/>
    <w:rsid w:val="00166FCB"/>
    <w:rsid w:val="00167641"/>
    <w:rsid w:val="00170334"/>
    <w:rsid w:val="001708AF"/>
    <w:rsid w:val="001708EE"/>
    <w:rsid w:val="001709C5"/>
    <w:rsid w:val="0017332F"/>
    <w:rsid w:val="001737E5"/>
    <w:rsid w:val="00174E55"/>
    <w:rsid w:val="00175441"/>
    <w:rsid w:val="00175675"/>
    <w:rsid w:val="001756BE"/>
    <w:rsid w:val="00175F7A"/>
    <w:rsid w:val="00176110"/>
    <w:rsid w:val="00176132"/>
    <w:rsid w:val="00176270"/>
    <w:rsid w:val="001762E7"/>
    <w:rsid w:val="0017658F"/>
    <w:rsid w:val="001767D8"/>
    <w:rsid w:val="00180A48"/>
    <w:rsid w:val="00181BD9"/>
    <w:rsid w:val="00181FAF"/>
    <w:rsid w:val="0018241C"/>
    <w:rsid w:val="00182979"/>
    <w:rsid w:val="001830EA"/>
    <w:rsid w:val="00183F79"/>
    <w:rsid w:val="001850F7"/>
    <w:rsid w:val="00187190"/>
    <w:rsid w:val="001877AB"/>
    <w:rsid w:val="001879CA"/>
    <w:rsid w:val="001880A4"/>
    <w:rsid w:val="00190189"/>
    <w:rsid w:val="00190E0C"/>
    <w:rsid w:val="00191B11"/>
    <w:rsid w:val="00191D26"/>
    <w:rsid w:val="00192F02"/>
    <w:rsid w:val="001932EA"/>
    <w:rsid w:val="001935E6"/>
    <w:rsid w:val="00193B7B"/>
    <w:rsid w:val="00193E0C"/>
    <w:rsid w:val="0019518A"/>
    <w:rsid w:val="00196040"/>
    <w:rsid w:val="00196603"/>
    <w:rsid w:val="00196AF3"/>
    <w:rsid w:val="00197520"/>
    <w:rsid w:val="001A0A97"/>
    <w:rsid w:val="001A0AD6"/>
    <w:rsid w:val="001A1329"/>
    <w:rsid w:val="001A27FD"/>
    <w:rsid w:val="001A2BAA"/>
    <w:rsid w:val="001A3056"/>
    <w:rsid w:val="001A33A2"/>
    <w:rsid w:val="001A3997"/>
    <w:rsid w:val="001A3C3F"/>
    <w:rsid w:val="001A48CA"/>
    <w:rsid w:val="001A4E8D"/>
    <w:rsid w:val="001A5195"/>
    <w:rsid w:val="001A5AA7"/>
    <w:rsid w:val="001A63B1"/>
    <w:rsid w:val="001A78A2"/>
    <w:rsid w:val="001A7C04"/>
    <w:rsid w:val="001B0517"/>
    <w:rsid w:val="001B0C32"/>
    <w:rsid w:val="001B0E74"/>
    <w:rsid w:val="001B1C49"/>
    <w:rsid w:val="001B1C7B"/>
    <w:rsid w:val="001B1C88"/>
    <w:rsid w:val="001B1E51"/>
    <w:rsid w:val="001B1FA2"/>
    <w:rsid w:val="001B2D12"/>
    <w:rsid w:val="001B4049"/>
    <w:rsid w:val="001B5928"/>
    <w:rsid w:val="001B6802"/>
    <w:rsid w:val="001B76DE"/>
    <w:rsid w:val="001B78AC"/>
    <w:rsid w:val="001B7B9D"/>
    <w:rsid w:val="001C026B"/>
    <w:rsid w:val="001C06C0"/>
    <w:rsid w:val="001C19C7"/>
    <w:rsid w:val="001C1BDE"/>
    <w:rsid w:val="001C20A8"/>
    <w:rsid w:val="001C274A"/>
    <w:rsid w:val="001C2765"/>
    <w:rsid w:val="001C29D1"/>
    <w:rsid w:val="001C2E28"/>
    <w:rsid w:val="001C312D"/>
    <w:rsid w:val="001C359F"/>
    <w:rsid w:val="001C3E25"/>
    <w:rsid w:val="001C410E"/>
    <w:rsid w:val="001C49D0"/>
    <w:rsid w:val="001C52A2"/>
    <w:rsid w:val="001C549E"/>
    <w:rsid w:val="001C57E5"/>
    <w:rsid w:val="001C5A7D"/>
    <w:rsid w:val="001C6249"/>
    <w:rsid w:val="001C629D"/>
    <w:rsid w:val="001C6AAE"/>
    <w:rsid w:val="001C6FF7"/>
    <w:rsid w:val="001C7011"/>
    <w:rsid w:val="001C74E1"/>
    <w:rsid w:val="001D0488"/>
    <w:rsid w:val="001D191C"/>
    <w:rsid w:val="001D1A6A"/>
    <w:rsid w:val="001D26F2"/>
    <w:rsid w:val="001D2B21"/>
    <w:rsid w:val="001D2B31"/>
    <w:rsid w:val="001D3EEB"/>
    <w:rsid w:val="001D449A"/>
    <w:rsid w:val="001D4BB9"/>
    <w:rsid w:val="001D5160"/>
    <w:rsid w:val="001D5389"/>
    <w:rsid w:val="001D608C"/>
    <w:rsid w:val="001D688F"/>
    <w:rsid w:val="001D6ADB"/>
    <w:rsid w:val="001D7155"/>
    <w:rsid w:val="001D7559"/>
    <w:rsid w:val="001D7737"/>
    <w:rsid w:val="001E1AA6"/>
    <w:rsid w:val="001E1C92"/>
    <w:rsid w:val="001E31C7"/>
    <w:rsid w:val="001E37C5"/>
    <w:rsid w:val="001E3A3F"/>
    <w:rsid w:val="001E540E"/>
    <w:rsid w:val="001E571B"/>
    <w:rsid w:val="001E602D"/>
    <w:rsid w:val="001E7858"/>
    <w:rsid w:val="001E7B78"/>
    <w:rsid w:val="001E7D19"/>
    <w:rsid w:val="001F09DE"/>
    <w:rsid w:val="001F4C6B"/>
    <w:rsid w:val="001F52D6"/>
    <w:rsid w:val="001F5791"/>
    <w:rsid w:val="001F7357"/>
    <w:rsid w:val="001F74A5"/>
    <w:rsid w:val="001F7A3D"/>
    <w:rsid w:val="002003B5"/>
    <w:rsid w:val="00200E70"/>
    <w:rsid w:val="002027F0"/>
    <w:rsid w:val="0020285F"/>
    <w:rsid w:val="00202A2F"/>
    <w:rsid w:val="0020430D"/>
    <w:rsid w:val="00204366"/>
    <w:rsid w:val="00204793"/>
    <w:rsid w:val="00205580"/>
    <w:rsid w:val="002056B0"/>
    <w:rsid w:val="00205CC3"/>
    <w:rsid w:val="002067FF"/>
    <w:rsid w:val="00206DE6"/>
    <w:rsid w:val="0020773F"/>
    <w:rsid w:val="00207772"/>
    <w:rsid w:val="00207784"/>
    <w:rsid w:val="00210028"/>
    <w:rsid w:val="00210656"/>
    <w:rsid w:val="00211309"/>
    <w:rsid w:val="00213017"/>
    <w:rsid w:val="002130AF"/>
    <w:rsid w:val="00213767"/>
    <w:rsid w:val="00213775"/>
    <w:rsid w:val="00214277"/>
    <w:rsid w:val="002144B0"/>
    <w:rsid w:val="002146B0"/>
    <w:rsid w:val="00215667"/>
    <w:rsid w:val="0021654B"/>
    <w:rsid w:val="00216C41"/>
    <w:rsid w:val="00216EF8"/>
    <w:rsid w:val="002176B8"/>
    <w:rsid w:val="00217D71"/>
    <w:rsid w:val="00221584"/>
    <w:rsid w:val="002218FA"/>
    <w:rsid w:val="00221BD2"/>
    <w:rsid w:val="00221E4C"/>
    <w:rsid w:val="00221F29"/>
    <w:rsid w:val="002226CE"/>
    <w:rsid w:val="00222F5C"/>
    <w:rsid w:val="0022447E"/>
    <w:rsid w:val="00224BF4"/>
    <w:rsid w:val="002262F8"/>
    <w:rsid w:val="002267E5"/>
    <w:rsid w:val="00226FC5"/>
    <w:rsid w:val="00226FCB"/>
    <w:rsid w:val="00230135"/>
    <w:rsid w:val="00230823"/>
    <w:rsid w:val="0023130C"/>
    <w:rsid w:val="00231B63"/>
    <w:rsid w:val="0023210F"/>
    <w:rsid w:val="00232230"/>
    <w:rsid w:val="00232B74"/>
    <w:rsid w:val="00232D34"/>
    <w:rsid w:val="002335C8"/>
    <w:rsid w:val="002336A9"/>
    <w:rsid w:val="00233E6B"/>
    <w:rsid w:val="002340DB"/>
    <w:rsid w:val="0023535B"/>
    <w:rsid w:val="00235A84"/>
    <w:rsid w:val="00235EDB"/>
    <w:rsid w:val="002376F7"/>
    <w:rsid w:val="00240130"/>
    <w:rsid w:val="00240525"/>
    <w:rsid w:val="00241076"/>
    <w:rsid w:val="00241AC4"/>
    <w:rsid w:val="00241E85"/>
    <w:rsid w:val="002421EE"/>
    <w:rsid w:val="00242713"/>
    <w:rsid w:val="00243011"/>
    <w:rsid w:val="00244334"/>
    <w:rsid w:val="00244B22"/>
    <w:rsid w:val="0024631E"/>
    <w:rsid w:val="002473C6"/>
    <w:rsid w:val="0024753B"/>
    <w:rsid w:val="0024797F"/>
    <w:rsid w:val="00247E91"/>
    <w:rsid w:val="002503E7"/>
    <w:rsid w:val="002504B8"/>
    <w:rsid w:val="002504C3"/>
    <w:rsid w:val="00250F09"/>
    <w:rsid w:val="00251071"/>
    <w:rsid w:val="00251A82"/>
    <w:rsid w:val="00251FE8"/>
    <w:rsid w:val="00252BAC"/>
    <w:rsid w:val="00252D59"/>
    <w:rsid w:val="00253E80"/>
    <w:rsid w:val="0025446D"/>
    <w:rsid w:val="002545B2"/>
    <w:rsid w:val="002549D2"/>
    <w:rsid w:val="00254C20"/>
    <w:rsid w:val="00255137"/>
    <w:rsid w:val="002563FC"/>
    <w:rsid w:val="002567DB"/>
    <w:rsid w:val="002567F0"/>
    <w:rsid w:val="00257D9C"/>
    <w:rsid w:val="00257E7E"/>
    <w:rsid w:val="0026084A"/>
    <w:rsid w:val="002609BB"/>
    <w:rsid w:val="00260EB9"/>
    <w:rsid w:val="002610B8"/>
    <w:rsid w:val="00261307"/>
    <w:rsid w:val="002616DA"/>
    <w:rsid w:val="00261781"/>
    <w:rsid w:val="00261821"/>
    <w:rsid w:val="00261AC6"/>
    <w:rsid w:val="00261CB7"/>
    <w:rsid w:val="00261EEA"/>
    <w:rsid w:val="00261FF5"/>
    <w:rsid w:val="002621C6"/>
    <w:rsid w:val="00262883"/>
    <w:rsid w:val="00262AA2"/>
    <w:rsid w:val="00263236"/>
    <w:rsid w:val="002633B8"/>
    <w:rsid w:val="00263827"/>
    <w:rsid w:val="00263F42"/>
    <w:rsid w:val="00264633"/>
    <w:rsid w:val="002649A7"/>
    <w:rsid w:val="002649F7"/>
    <w:rsid w:val="00264ABB"/>
    <w:rsid w:val="00264AE2"/>
    <w:rsid w:val="00265BE4"/>
    <w:rsid w:val="00265E4E"/>
    <w:rsid w:val="00265F4F"/>
    <w:rsid w:val="002660FA"/>
    <w:rsid w:val="00266303"/>
    <w:rsid w:val="00267393"/>
    <w:rsid w:val="00267EE7"/>
    <w:rsid w:val="00270590"/>
    <w:rsid w:val="0027199A"/>
    <w:rsid w:val="00271AA2"/>
    <w:rsid w:val="00271D9B"/>
    <w:rsid w:val="0027289B"/>
    <w:rsid w:val="002749D0"/>
    <w:rsid w:val="00274CC1"/>
    <w:rsid w:val="0027541F"/>
    <w:rsid w:val="00275B8F"/>
    <w:rsid w:val="00275C28"/>
    <w:rsid w:val="002761FB"/>
    <w:rsid w:val="00277553"/>
    <w:rsid w:val="00277EA6"/>
    <w:rsid w:val="0028010E"/>
    <w:rsid w:val="0028128C"/>
    <w:rsid w:val="0028184E"/>
    <w:rsid w:val="00281A01"/>
    <w:rsid w:val="002834B4"/>
    <w:rsid w:val="00283D8E"/>
    <w:rsid w:val="00284038"/>
    <w:rsid w:val="00284F59"/>
    <w:rsid w:val="00285165"/>
    <w:rsid w:val="0028543C"/>
    <w:rsid w:val="0028602B"/>
    <w:rsid w:val="002867E9"/>
    <w:rsid w:val="00286A52"/>
    <w:rsid w:val="002876D5"/>
    <w:rsid w:val="00287848"/>
    <w:rsid w:val="00287F51"/>
    <w:rsid w:val="002902C6"/>
    <w:rsid w:val="0029061D"/>
    <w:rsid w:val="002906CA"/>
    <w:rsid w:val="00290AA6"/>
    <w:rsid w:val="0029117C"/>
    <w:rsid w:val="00291962"/>
    <w:rsid w:val="00291C72"/>
    <w:rsid w:val="00291D9A"/>
    <w:rsid w:val="002931CF"/>
    <w:rsid w:val="00293807"/>
    <w:rsid w:val="00294F03"/>
    <w:rsid w:val="002958CF"/>
    <w:rsid w:val="00295EA5"/>
    <w:rsid w:val="00295F3E"/>
    <w:rsid w:val="00296019"/>
    <w:rsid w:val="00296B78"/>
    <w:rsid w:val="00296E25"/>
    <w:rsid w:val="002977BD"/>
    <w:rsid w:val="00297FD8"/>
    <w:rsid w:val="002A02CC"/>
    <w:rsid w:val="002A0E9B"/>
    <w:rsid w:val="002A1FE5"/>
    <w:rsid w:val="002A23F0"/>
    <w:rsid w:val="002A24AA"/>
    <w:rsid w:val="002A2841"/>
    <w:rsid w:val="002A2847"/>
    <w:rsid w:val="002A2B0D"/>
    <w:rsid w:val="002A2D5D"/>
    <w:rsid w:val="002A30E8"/>
    <w:rsid w:val="002A3941"/>
    <w:rsid w:val="002A3EDD"/>
    <w:rsid w:val="002A44F4"/>
    <w:rsid w:val="002A4700"/>
    <w:rsid w:val="002A495E"/>
    <w:rsid w:val="002A78D9"/>
    <w:rsid w:val="002A7D8F"/>
    <w:rsid w:val="002A7DD7"/>
    <w:rsid w:val="002B0485"/>
    <w:rsid w:val="002B149F"/>
    <w:rsid w:val="002B2601"/>
    <w:rsid w:val="002B2F09"/>
    <w:rsid w:val="002B46A5"/>
    <w:rsid w:val="002B4AF9"/>
    <w:rsid w:val="002B57CF"/>
    <w:rsid w:val="002B5A04"/>
    <w:rsid w:val="002B5DFE"/>
    <w:rsid w:val="002B68DD"/>
    <w:rsid w:val="002B68F9"/>
    <w:rsid w:val="002B7A6D"/>
    <w:rsid w:val="002B7BD0"/>
    <w:rsid w:val="002C0813"/>
    <w:rsid w:val="002C0941"/>
    <w:rsid w:val="002C0DB8"/>
    <w:rsid w:val="002C1314"/>
    <w:rsid w:val="002C205F"/>
    <w:rsid w:val="002C2755"/>
    <w:rsid w:val="002C2BB7"/>
    <w:rsid w:val="002C2DC2"/>
    <w:rsid w:val="002C3355"/>
    <w:rsid w:val="002C4D02"/>
    <w:rsid w:val="002C517B"/>
    <w:rsid w:val="002C556A"/>
    <w:rsid w:val="002C5B9B"/>
    <w:rsid w:val="002C5CEE"/>
    <w:rsid w:val="002C69C6"/>
    <w:rsid w:val="002C6B4A"/>
    <w:rsid w:val="002C6D2A"/>
    <w:rsid w:val="002C7292"/>
    <w:rsid w:val="002D0D5E"/>
    <w:rsid w:val="002D1026"/>
    <w:rsid w:val="002D1BB6"/>
    <w:rsid w:val="002D1E37"/>
    <w:rsid w:val="002D27CD"/>
    <w:rsid w:val="002D49F4"/>
    <w:rsid w:val="002D5B7D"/>
    <w:rsid w:val="002D6EF0"/>
    <w:rsid w:val="002D6FA7"/>
    <w:rsid w:val="002D7387"/>
    <w:rsid w:val="002E05B7"/>
    <w:rsid w:val="002E0E4B"/>
    <w:rsid w:val="002E1163"/>
    <w:rsid w:val="002E239D"/>
    <w:rsid w:val="002E250A"/>
    <w:rsid w:val="002E27BD"/>
    <w:rsid w:val="002E30E5"/>
    <w:rsid w:val="002E3197"/>
    <w:rsid w:val="002E41EF"/>
    <w:rsid w:val="002E483F"/>
    <w:rsid w:val="002E521B"/>
    <w:rsid w:val="002E6403"/>
    <w:rsid w:val="002E75F6"/>
    <w:rsid w:val="002E762B"/>
    <w:rsid w:val="002F0236"/>
    <w:rsid w:val="002F0553"/>
    <w:rsid w:val="002F1C2A"/>
    <w:rsid w:val="002F1CF6"/>
    <w:rsid w:val="002F2308"/>
    <w:rsid w:val="002F243F"/>
    <w:rsid w:val="002F3DC5"/>
    <w:rsid w:val="002F4ABC"/>
    <w:rsid w:val="002F4FC5"/>
    <w:rsid w:val="002F53FE"/>
    <w:rsid w:val="002F7D84"/>
    <w:rsid w:val="00301494"/>
    <w:rsid w:val="00301DDD"/>
    <w:rsid w:val="00301E3B"/>
    <w:rsid w:val="003026A3"/>
    <w:rsid w:val="00302E1D"/>
    <w:rsid w:val="00303F29"/>
    <w:rsid w:val="00304C09"/>
    <w:rsid w:val="003066CE"/>
    <w:rsid w:val="0030683A"/>
    <w:rsid w:val="003076D3"/>
    <w:rsid w:val="00307A0F"/>
    <w:rsid w:val="00307B54"/>
    <w:rsid w:val="00310125"/>
    <w:rsid w:val="00310175"/>
    <w:rsid w:val="003110B4"/>
    <w:rsid w:val="00312D7E"/>
    <w:rsid w:val="003134E8"/>
    <w:rsid w:val="00314B1A"/>
    <w:rsid w:val="00314DD6"/>
    <w:rsid w:val="00314E93"/>
    <w:rsid w:val="00315F6A"/>
    <w:rsid w:val="0031690D"/>
    <w:rsid w:val="003175A1"/>
    <w:rsid w:val="003177D5"/>
    <w:rsid w:val="0032123E"/>
    <w:rsid w:val="0032183F"/>
    <w:rsid w:val="00321908"/>
    <w:rsid w:val="00321CB4"/>
    <w:rsid w:val="00323A9A"/>
    <w:rsid w:val="003246C4"/>
    <w:rsid w:val="003255AD"/>
    <w:rsid w:val="00325E77"/>
    <w:rsid w:val="003266D5"/>
    <w:rsid w:val="00326972"/>
    <w:rsid w:val="00327EFA"/>
    <w:rsid w:val="00330D83"/>
    <w:rsid w:val="00331433"/>
    <w:rsid w:val="003325A7"/>
    <w:rsid w:val="00332C4B"/>
    <w:rsid w:val="003335AE"/>
    <w:rsid w:val="00333B51"/>
    <w:rsid w:val="00334362"/>
    <w:rsid w:val="00334416"/>
    <w:rsid w:val="00334441"/>
    <w:rsid w:val="003348D6"/>
    <w:rsid w:val="00334D10"/>
    <w:rsid w:val="00336B8B"/>
    <w:rsid w:val="00337909"/>
    <w:rsid w:val="003409B8"/>
    <w:rsid w:val="003409E5"/>
    <w:rsid w:val="00340FE1"/>
    <w:rsid w:val="00341F8F"/>
    <w:rsid w:val="00342C56"/>
    <w:rsid w:val="00343706"/>
    <w:rsid w:val="0034394D"/>
    <w:rsid w:val="0034397F"/>
    <w:rsid w:val="00343BB7"/>
    <w:rsid w:val="003442F5"/>
    <w:rsid w:val="00344330"/>
    <w:rsid w:val="00344354"/>
    <w:rsid w:val="003445BC"/>
    <w:rsid w:val="00344D63"/>
    <w:rsid w:val="003457DE"/>
    <w:rsid w:val="00345E07"/>
    <w:rsid w:val="0034681E"/>
    <w:rsid w:val="00346909"/>
    <w:rsid w:val="00346E0F"/>
    <w:rsid w:val="003475EC"/>
    <w:rsid w:val="00347FEF"/>
    <w:rsid w:val="00350575"/>
    <w:rsid w:val="0035185D"/>
    <w:rsid w:val="0035241D"/>
    <w:rsid w:val="00352503"/>
    <w:rsid w:val="00352C20"/>
    <w:rsid w:val="003535D8"/>
    <w:rsid w:val="00353FDD"/>
    <w:rsid w:val="0035481D"/>
    <w:rsid w:val="0035484A"/>
    <w:rsid w:val="00354DEC"/>
    <w:rsid w:val="00355A65"/>
    <w:rsid w:val="00355BCD"/>
    <w:rsid w:val="00355D96"/>
    <w:rsid w:val="003562E7"/>
    <w:rsid w:val="003568BB"/>
    <w:rsid w:val="00356A60"/>
    <w:rsid w:val="00356D82"/>
    <w:rsid w:val="003571A4"/>
    <w:rsid w:val="003577DB"/>
    <w:rsid w:val="0036016C"/>
    <w:rsid w:val="00360A9D"/>
    <w:rsid w:val="00361187"/>
    <w:rsid w:val="00361FDE"/>
    <w:rsid w:val="003624BA"/>
    <w:rsid w:val="00362508"/>
    <w:rsid w:val="00362733"/>
    <w:rsid w:val="00362C38"/>
    <w:rsid w:val="003633B0"/>
    <w:rsid w:val="00363558"/>
    <w:rsid w:val="0036470F"/>
    <w:rsid w:val="00364D30"/>
    <w:rsid w:val="00365EB4"/>
    <w:rsid w:val="00366333"/>
    <w:rsid w:val="00366519"/>
    <w:rsid w:val="00370196"/>
    <w:rsid w:val="0037087A"/>
    <w:rsid w:val="0037257C"/>
    <w:rsid w:val="00372897"/>
    <w:rsid w:val="003733C2"/>
    <w:rsid w:val="003742E7"/>
    <w:rsid w:val="00374485"/>
    <w:rsid w:val="0037594D"/>
    <w:rsid w:val="00375AA2"/>
    <w:rsid w:val="00375C9C"/>
    <w:rsid w:val="003761BE"/>
    <w:rsid w:val="00376EEF"/>
    <w:rsid w:val="00377396"/>
    <w:rsid w:val="003778E4"/>
    <w:rsid w:val="00377D66"/>
    <w:rsid w:val="00380114"/>
    <w:rsid w:val="00380EF6"/>
    <w:rsid w:val="00381871"/>
    <w:rsid w:val="00382462"/>
    <w:rsid w:val="00383049"/>
    <w:rsid w:val="003830D8"/>
    <w:rsid w:val="0038328C"/>
    <w:rsid w:val="00383DEC"/>
    <w:rsid w:val="00384819"/>
    <w:rsid w:val="00384B8F"/>
    <w:rsid w:val="00384BBF"/>
    <w:rsid w:val="003853F6"/>
    <w:rsid w:val="00385523"/>
    <w:rsid w:val="00385B97"/>
    <w:rsid w:val="003874A2"/>
    <w:rsid w:val="00387551"/>
    <w:rsid w:val="00387B0D"/>
    <w:rsid w:val="003908CF"/>
    <w:rsid w:val="00391EBE"/>
    <w:rsid w:val="00391F85"/>
    <w:rsid w:val="003928F0"/>
    <w:rsid w:val="00393CE7"/>
    <w:rsid w:val="00394426"/>
    <w:rsid w:val="00394D7F"/>
    <w:rsid w:val="00394F10"/>
    <w:rsid w:val="00397A74"/>
    <w:rsid w:val="003A0340"/>
    <w:rsid w:val="003A0D3E"/>
    <w:rsid w:val="003A18D7"/>
    <w:rsid w:val="003A1E62"/>
    <w:rsid w:val="003A2450"/>
    <w:rsid w:val="003A2470"/>
    <w:rsid w:val="003A2D49"/>
    <w:rsid w:val="003A3B4E"/>
    <w:rsid w:val="003A3CB1"/>
    <w:rsid w:val="003A3D00"/>
    <w:rsid w:val="003A452F"/>
    <w:rsid w:val="003A4D47"/>
    <w:rsid w:val="003A4EF0"/>
    <w:rsid w:val="003A5112"/>
    <w:rsid w:val="003A511C"/>
    <w:rsid w:val="003A56BA"/>
    <w:rsid w:val="003A5B38"/>
    <w:rsid w:val="003A60AF"/>
    <w:rsid w:val="003A7226"/>
    <w:rsid w:val="003B2681"/>
    <w:rsid w:val="003B361B"/>
    <w:rsid w:val="003B3BB4"/>
    <w:rsid w:val="003B5151"/>
    <w:rsid w:val="003B5A39"/>
    <w:rsid w:val="003B6F3C"/>
    <w:rsid w:val="003B7546"/>
    <w:rsid w:val="003C0671"/>
    <w:rsid w:val="003C0774"/>
    <w:rsid w:val="003C10E8"/>
    <w:rsid w:val="003C12EB"/>
    <w:rsid w:val="003C133C"/>
    <w:rsid w:val="003C2062"/>
    <w:rsid w:val="003C2426"/>
    <w:rsid w:val="003C34AF"/>
    <w:rsid w:val="003C3E8A"/>
    <w:rsid w:val="003C4627"/>
    <w:rsid w:val="003C4B8F"/>
    <w:rsid w:val="003C50F5"/>
    <w:rsid w:val="003C557B"/>
    <w:rsid w:val="003C59B0"/>
    <w:rsid w:val="003C5F29"/>
    <w:rsid w:val="003C5F4A"/>
    <w:rsid w:val="003C6135"/>
    <w:rsid w:val="003C6145"/>
    <w:rsid w:val="003C649C"/>
    <w:rsid w:val="003C7544"/>
    <w:rsid w:val="003C7BC4"/>
    <w:rsid w:val="003D113D"/>
    <w:rsid w:val="003D1DB6"/>
    <w:rsid w:val="003D27CB"/>
    <w:rsid w:val="003D44DF"/>
    <w:rsid w:val="003D4841"/>
    <w:rsid w:val="003D4B57"/>
    <w:rsid w:val="003D503B"/>
    <w:rsid w:val="003D53B3"/>
    <w:rsid w:val="003D5940"/>
    <w:rsid w:val="003D6FD0"/>
    <w:rsid w:val="003D77F7"/>
    <w:rsid w:val="003D7E21"/>
    <w:rsid w:val="003E00F5"/>
    <w:rsid w:val="003E1928"/>
    <w:rsid w:val="003E1FF6"/>
    <w:rsid w:val="003E2022"/>
    <w:rsid w:val="003E2A6F"/>
    <w:rsid w:val="003E33C2"/>
    <w:rsid w:val="003E3AFC"/>
    <w:rsid w:val="003E3DFA"/>
    <w:rsid w:val="003E43F2"/>
    <w:rsid w:val="003E4721"/>
    <w:rsid w:val="003E4813"/>
    <w:rsid w:val="003E4A3E"/>
    <w:rsid w:val="003E50DA"/>
    <w:rsid w:val="003E5380"/>
    <w:rsid w:val="003E5464"/>
    <w:rsid w:val="003E58E3"/>
    <w:rsid w:val="003E5CCB"/>
    <w:rsid w:val="003E6239"/>
    <w:rsid w:val="003E6778"/>
    <w:rsid w:val="003E6ADE"/>
    <w:rsid w:val="003E6C31"/>
    <w:rsid w:val="003E6CEA"/>
    <w:rsid w:val="003E7580"/>
    <w:rsid w:val="003E7652"/>
    <w:rsid w:val="003E7780"/>
    <w:rsid w:val="003E7B0A"/>
    <w:rsid w:val="003F017C"/>
    <w:rsid w:val="003F02B0"/>
    <w:rsid w:val="003F0595"/>
    <w:rsid w:val="003F05F7"/>
    <w:rsid w:val="003F0659"/>
    <w:rsid w:val="003F076F"/>
    <w:rsid w:val="003F0A19"/>
    <w:rsid w:val="003F28D6"/>
    <w:rsid w:val="003F33F1"/>
    <w:rsid w:val="003F391D"/>
    <w:rsid w:val="003F5900"/>
    <w:rsid w:val="003F612E"/>
    <w:rsid w:val="003F621A"/>
    <w:rsid w:val="003F6D13"/>
    <w:rsid w:val="003F7F6D"/>
    <w:rsid w:val="00400BFD"/>
    <w:rsid w:val="00401314"/>
    <w:rsid w:val="00401661"/>
    <w:rsid w:val="00401D27"/>
    <w:rsid w:val="00401D92"/>
    <w:rsid w:val="0040288F"/>
    <w:rsid w:val="00403590"/>
    <w:rsid w:val="00403631"/>
    <w:rsid w:val="00403764"/>
    <w:rsid w:val="00404109"/>
    <w:rsid w:val="004045E0"/>
    <w:rsid w:val="00404842"/>
    <w:rsid w:val="00404EAA"/>
    <w:rsid w:val="004051A4"/>
    <w:rsid w:val="00405321"/>
    <w:rsid w:val="004056C0"/>
    <w:rsid w:val="00405D09"/>
    <w:rsid w:val="00405E67"/>
    <w:rsid w:val="00407465"/>
    <w:rsid w:val="004077EC"/>
    <w:rsid w:val="004078FB"/>
    <w:rsid w:val="00407AE9"/>
    <w:rsid w:val="00410E4C"/>
    <w:rsid w:val="00412CAE"/>
    <w:rsid w:val="004138AD"/>
    <w:rsid w:val="00413BA6"/>
    <w:rsid w:val="00413D3A"/>
    <w:rsid w:val="00414229"/>
    <w:rsid w:val="0041430B"/>
    <w:rsid w:val="00414DEA"/>
    <w:rsid w:val="00414EEA"/>
    <w:rsid w:val="004151E9"/>
    <w:rsid w:val="00415DF5"/>
    <w:rsid w:val="00415EE1"/>
    <w:rsid w:val="004164E3"/>
    <w:rsid w:val="00416A83"/>
    <w:rsid w:val="00416C2D"/>
    <w:rsid w:val="00416CF1"/>
    <w:rsid w:val="00417278"/>
    <w:rsid w:val="00420FA6"/>
    <w:rsid w:val="00421188"/>
    <w:rsid w:val="00421897"/>
    <w:rsid w:val="004233A8"/>
    <w:rsid w:val="0042394F"/>
    <w:rsid w:val="004246EC"/>
    <w:rsid w:val="004247A9"/>
    <w:rsid w:val="00424BED"/>
    <w:rsid w:val="00426117"/>
    <w:rsid w:val="00426432"/>
    <w:rsid w:val="004267C8"/>
    <w:rsid w:val="00426BFA"/>
    <w:rsid w:val="00427E9F"/>
    <w:rsid w:val="00430635"/>
    <w:rsid w:val="00431863"/>
    <w:rsid w:val="00431D40"/>
    <w:rsid w:val="00431ECC"/>
    <w:rsid w:val="0043251B"/>
    <w:rsid w:val="00433E72"/>
    <w:rsid w:val="00434011"/>
    <w:rsid w:val="00434DD0"/>
    <w:rsid w:val="00435184"/>
    <w:rsid w:val="004357CB"/>
    <w:rsid w:val="00436531"/>
    <w:rsid w:val="00437E47"/>
    <w:rsid w:val="0044061D"/>
    <w:rsid w:val="0044080A"/>
    <w:rsid w:val="00441B01"/>
    <w:rsid w:val="00442468"/>
    <w:rsid w:val="00442D53"/>
    <w:rsid w:val="0044331B"/>
    <w:rsid w:val="0044369C"/>
    <w:rsid w:val="00443757"/>
    <w:rsid w:val="00444E3D"/>
    <w:rsid w:val="00444E63"/>
    <w:rsid w:val="0044524F"/>
    <w:rsid w:val="004459D1"/>
    <w:rsid w:val="00446131"/>
    <w:rsid w:val="004471A7"/>
    <w:rsid w:val="00447C3C"/>
    <w:rsid w:val="004501E7"/>
    <w:rsid w:val="00450A73"/>
    <w:rsid w:val="00450CB3"/>
    <w:rsid w:val="00451C07"/>
    <w:rsid w:val="00451CBF"/>
    <w:rsid w:val="00452220"/>
    <w:rsid w:val="00452A8D"/>
    <w:rsid w:val="00454461"/>
    <w:rsid w:val="00454AE6"/>
    <w:rsid w:val="00454B68"/>
    <w:rsid w:val="00455843"/>
    <w:rsid w:val="0045617F"/>
    <w:rsid w:val="00456B8E"/>
    <w:rsid w:val="00456D49"/>
    <w:rsid w:val="004570F1"/>
    <w:rsid w:val="00460297"/>
    <w:rsid w:val="00460FB2"/>
    <w:rsid w:val="004614B3"/>
    <w:rsid w:val="00461BB1"/>
    <w:rsid w:val="00461FB6"/>
    <w:rsid w:val="00462F8C"/>
    <w:rsid w:val="004638D3"/>
    <w:rsid w:val="00463A56"/>
    <w:rsid w:val="00463C9C"/>
    <w:rsid w:val="00464B22"/>
    <w:rsid w:val="00464F00"/>
    <w:rsid w:val="004650B5"/>
    <w:rsid w:val="00465422"/>
    <w:rsid w:val="00465F89"/>
    <w:rsid w:val="00466681"/>
    <w:rsid w:val="004666FB"/>
    <w:rsid w:val="004667E4"/>
    <w:rsid w:val="00467E8B"/>
    <w:rsid w:val="004700CA"/>
    <w:rsid w:val="004711D3"/>
    <w:rsid w:val="00471535"/>
    <w:rsid w:val="0047169A"/>
    <w:rsid w:val="0047210C"/>
    <w:rsid w:val="0047299F"/>
    <w:rsid w:val="00472B98"/>
    <w:rsid w:val="00473296"/>
    <w:rsid w:val="004732A1"/>
    <w:rsid w:val="004739D0"/>
    <w:rsid w:val="00474179"/>
    <w:rsid w:val="00474384"/>
    <w:rsid w:val="00474DF3"/>
    <w:rsid w:val="004755DB"/>
    <w:rsid w:val="00475E05"/>
    <w:rsid w:val="004760D5"/>
    <w:rsid w:val="0047648B"/>
    <w:rsid w:val="00476C07"/>
    <w:rsid w:val="00476E45"/>
    <w:rsid w:val="004772A0"/>
    <w:rsid w:val="0048024F"/>
    <w:rsid w:val="00480445"/>
    <w:rsid w:val="0048065F"/>
    <w:rsid w:val="00480DD9"/>
    <w:rsid w:val="004811D7"/>
    <w:rsid w:val="00482901"/>
    <w:rsid w:val="004837C3"/>
    <w:rsid w:val="00485DDD"/>
    <w:rsid w:val="00485F35"/>
    <w:rsid w:val="00486076"/>
    <w:rsid w:val="00486863"/>
    <w:rsid w:val="00490004"/>
    <w:rsid w:val="00490AA1"/>
    <w:rsid w:val="004928DD"/>
    <w:rsid w:val="00493356"/>
    <w:rsid w:val="00493388"/>
    <w:rsid w:val="004939C7"/>
    <w:rsid w:val="00493A55"/>
    <w:rsid w:val="00493B9F"/>
    <w:rsid w:val="00494037"/>
    <w:rsid w:val="00494121"/>
    <w:rsid w:val="004944FF"/>
    <w:rsid w:val="00494AC0"/>
    <w:rsid w:val="00494DD4"/>
    <w:rsid w:val="004950A5"/>
    <w:rsid w:val="004963BB"/>
    <w:rsid w:val="00497C8F"/>
    <w:rsid w:val="00497DB5"/>
    <w:rsid w:val="004A009F"/>
    <w:rsid w:val="004A1681"/>
    <w:rsid w:val="004A1E63"/>
    <w:rsid w:val="004A2079"/>
    <w:rsid w:val="004A3573"/>
    <w:rsid w:val="004A3FD6"/>
    <w:rsid w:val="004A486B"/>
    <w:rsid w:val="004A4A8C"/>
    <w:rsid w:val="004A4B8F"/>
    <w:rsid w:val="004A4DE5"/>
    <w:rsid w:val="004A4F05"/>
    <w:rsid w:val="004A6707"/>
    <w:rsid w:val="004A6BD4"/>
    <w:rsid w:val="004A7684"/>
    <w:rsid w:val="004A7E51"/>
    <w:rsid w:val="004B1120"/>
    <w:rsid w:val="004B1372"/>
    <w:rsid w:val="004B1CCC"/>
    <w:rsid w:val="004B1FE0"/>
    <w:rsid w:val="004B3E3C"/>
    <w:rsid w:val="004B3EDF"/>
    <w:rsid w:val="004B4433"/>
    <w:rsid w:val="004B4F89"/>
    <w:rsid w:val="004B5856"/>
    <w:rsid w:val="004B6820"/>
    <w:rsid w:val="004C1082"/>
    <w:rsid w:val="004C1518"/>
    <w:rsid w:val="004C1BD3"/>
    <w:rsid w:val="004C1EA6"/>
    <w:rsid w:val="004C254C"/>
    <w:rsid w:val="004C2C4D"/>
    <w:rsid w:val="004C3B93"/>
    <w:rsid w:val="004C4631"/>
    <w:rsid w:val="004C499C"/>
    <w:rsid w:val="004C4DDC"/>
    <w:rsid w:val="004C5AD0"/>
    <w:rsid w:val="004C5C30"/>
    <w:rsid w:val="004C5F8E"/>
    <w:rsid w:val="004C608A"/>
    <w:rsid w:val="004C6150"/>
    <w:rsid w:val="004C6A45"/>
    <w:rsid w:val="004C7197"/>
    <w:rsid w:val="004C7C42"/>
    <w:rsid w:val="004D2714"/>
    <w:rsid w:val="004D2A47"/>
    <w:rsid w:val="004D316D"/>
    <w:rsid w:val="004D367E"/>
    <w:rsid w:val="004D371B"/>
    <w:rsid w:val="004D3A90"/>
    <w:rsid w:val="004D3C0E"/>
    <w:rsid w:val="004D3D44"/>
    <w:rsid w:val="004D4053"/>
    <w:rsid w:val="004D46DE"/>
    <w:rsid w:val="004D47F9"/>
    <w:rsid w:val="004D5572"/>
    <w:rsid w:val="004D57CA"/>
    <w:rsid w:val="004D6176"/>
    <w:rsid w:val="004D639D"/>
    <w:rsid w:val="004D6F4E"/>
    <w:rsid w:val="004D791E"/>
    <w:rsid w:val="004D7A27"/>
    <w:rsid w:val="004D7ACC"/>
    <w:rsid w:val="004E19CE"/>
    <w:rsid w:val="004E1C86"/>
    <w:rsid w:val="004E2937"/>
    <w:rsid w:val="004E3774"/>
    <w:rsid w:val="004E4397"/>
    <w:rsid w:val="004E5418"/>
    <w:rsid w:val="004E5AD2"/>
    <w:rsid w:val="004E76E1"/>
    <w:rsid w:val="004E7817"/>
    <w:rsid w:val="004F01C6"/>
    <w:rsid w:val="004F1138"/>
    <w:rsid w:val="004F1E66"/>
    <w:rsid w:val="004F2114"/>
    <w:rsid w:val="004F23E8"/>
    <w:rsid w:val="004F2B27"/>
    <w:rsid w:val="004F4BBF"/>
    <w:rsid w:val="004F58C7"/>
    <w:rsid w:val="004F61FC"/>
    <w:rsid w:val="004F67B0"/>
    <w:rsid w:val="004F6F20"/>
    <w:rsid w:val="00500400"/>
    <w:rsid w:val="005004D6"/>
    <w:rsid w:val="00500D6C"/>
    <w:rsid w:val="00501630"/>
    <w:rsid w:val="005021C5"/>
    <w:rsid w:val="00502217"/>
    <w:rsid w:val="005026FE"/>
    <w:rsid w:val="00502910"/>
    <w:rsid w:val="00502B2F"/>
    <w:rsid w:val="00502D1B"/>
    <w:rsid w:val="00503527"/>
    <w:rsid w:val="00503698"/>
    <w:rsid w:val="005037D5"/>
    <w:rsid w:val="00504C35"/>
    <w:rsid w:val="005055B6"/>
    <w:rsid w:val="0050601C"/>
    <w:rsid w:val="00507926"/>
    <w:rsid w:val="00507E19"/>
    <w:rsid w:val="00510398"/>
    <w:rsid w:val="00510FD8"/>
    <w:rsid w:val="00511403"/>
    <w:rsid w:val="00512434"/>
    <w:rsid w:val="005124F2"/>
    <w:rsid w:val="0051280B"/>
    <w:rsid w:val="00512ABD"/>
    <w:rsid w:val="00513721"/>
    <w:rsid w:val="0051405A"/>
    <w:rsid w:val="0051408E"/>
    <w:rsid w:val="00514BAC"/>
    <w:rsid w:val="00514CE7"/>
    <w:rsid w:val="00514EFB"/>
    <w:rsid w:val="0051552A"/>
    <w:rsid w:val="005159AC"/>
    <w:rsid w:val="00516EA5"/>
    <w:rsid w:val="00520210"/>
    <w:rsid w:val="00520656"/>
    <w:rsid w:val="005207D6"/>
    <w:rsid w:val="0052099C"/>
    <w:rsid w:val="00520FD1"/>
    <w:rsid w:val="005212EB"/>
    <w:rsid w:val="00522682"/>
    <w:rsid w:val="005227B9"/>
    <w:rsid w:val="005228F9"/>
    <w:rsid w:val="00522BBC"/>
    <w:rsid w:val="005234A3"/>
    <w:rsid w:val="00525B9A"/>
    <w:rsid w:val="00525E86"/>
    <w:rsid w:val="005263D3"/>
    <w:rsid w:val="005263DF"/>
    <w:rsid w:val="00526A17"/>
    <w:rsid w:val="0052788D"/>
    <w:rsid w:val="00527DD7"/>
    <w:rsid w:val="0053062E"/>
    <w:rsid w:val="005306E5"/>
    <w:rsid w:val="00531E79"/>
    <w:rsid w:val="005325F6"/>
    <w:rsid w:val="00532F2E"/>
    <w:rsid w:val="005339FC"/>
    <w:rsid w:val="00534BAC"/>
    <w:rsid w:val="005358D3"/>
    <w:rsid w:val="00535D76"/>
    <w:rsid w:val="00536363"/>
    <w:rsid w:val="00536551"/>
    <w:rsid w:val="00537999"/>
    <w:rsid w:val="005379DE"/>
    <w:rsid w:val="00540AB9"/>
    <w:rsid w:val="00540AE8"/>
    <w:rsid w:val="00541AF3"/>
    <w:rsid w:val="00541B38"/>
    <w:rsid w:val="00541C53"/>
    <w:rsid w:val="00541DDE"/>
    <w:rsid w:val="00542A7F"/>
    <w:rsid w:val="00542E53"/>
    <w:rsid w:val="0054365D"/>
    <w:rsid w:val="005436D2"/>
    <w:rsid w:val="005438C4"/>
    <w:rsid w:val="00543DD1"/>
    <w:rsid w:val="00544D07"/>
    <w:rsid w:val="005451F6"/>
    <w:rsid w:val="005466CA"/>
    <w:rsid w:val="00547D2B"/>
    <w:rsid w:val="00550F67"/>
    <w:rsid w:val="00551BD4"/>
    <w:rsid w:val="00551FA5"/>
    <w:rsid w:val="005526F7"/>
    <w:rsid w:val="00552844"/>
    <w:rsid w:val="0055330C"/>
    <w:rsid w:val="0055396B"/>
    <w:rsid w:val="00553985"/>
    <w:rsid w:val="0055419B"/>
    <w:rsid w:val="00554B02"/>
    <w:rsid w:val="00557FDB"/>
    <w:rsid w:val="0056022E"/>
    <w:rsid w:val="00560A74"/>
    <w:rsid w:val="00560E25"/>
    <w:rsid w:val="00562145"/>
    <w:rsid w:val="00563172"/>
    <w:rsid w:val="00563D43"/>
    <w:rsid w:val="00563DE1"/>
    <w:rsid w:val="00564C37"/>
    <w:rsid w:val="00564EA9"/>
    <w:rsid w:val="00565DAD"/>
    <w:rsid w:val="00566076"/>
    <w:rsid w:val="00566E70"/>
    <w:rsid w:val="00570279"/>
    <w:rsid w:val="00571135"/>
    <w:rsid w:val="00571A5F"/>
    <w:rsid w:val="005728A5"/>
    <w:rsid w:val="005738DD"/>
    <w:rsid w:val="00575A86"/>
    <w:rsid w:val="00575CD0"/>
    <w:rsid w:val="005764F3"/>
    <w:rsid w:val="00577061"/>
    <w:rsid w:val="005772B7"/>
    <w:rsid w:val="00580A1E"/>
    <w:rsid w:val="0058272A"/>
    <w:rsid w:val="00582C14"/>
    <w:rsid w:val="00583B7A"/>
    <w:rsid w:val="00584516"/>
    <w:rsid w:val="0058474B"/>
    <w:rsid w:val="00584C3C"/>
    <w:rsid w:val="005854C4"/>
    <w:rsid w:val="005855EE"/>
    <w:rsid w:val="00586CBE"/>
    <w:rsid w:val="00590D74"/>
    <w:rsid w:val="005910F4"/>
    <w:rsid w:val="0059276B"/>
    <w:rsid w:val="0059291F"/>
    <w:rsid w:val="005949C6"/>
    <w:rsid w:val="00594E8F"/>
    <w:rsid w:val="00597028"/>
    <w:rsid w:val="0059742E"/>
    <w:rsid w:val="0059763D"/>
    <w:rsid w:val="005A0642"/>
    <w:rsid w:val="005A0846"/>
    <w:rsid w:val="005A0EFF"/>
    <w:rsid w:val="005A1023"/>
    <w:rsid w:val="005A18AE"/>
    <w:rsid w:val="005A217E"/>
    <w:rsid w:val="005A27E6"/>
    <w:rsid w:val="005A2E5A"/>
    <w:rsid w:val="005A2FFC"/>
    <w:rsid w:val="005A3FDA"/>
    <w:rsid w:val="005A43C7"/>
    <w:rsid w:val="005A44C3"/>
    <w:rsid w:val="005A59DC"/>
    <w:rsid w:val="005A5A5B"/>
    <w:rsid w:val="005A5EEB"/>
    <w:rsid w:val="005A67B7"/>
    <w:rsid w:val="005A7736"/>
    <w:rsid w:val="005A793A"/>
    <w:rsid w:val="005A7958"/>
    <w:rsid w:val="005B084C"/>
    <w:rsid w:val="005B0B74"/>
    <w:rsid w:val="005B0FB3"/>
    <w:rsid w:val="005B1158"/>
    <w:rsid w:val="005B17B3"/>
    <w:rsid w:val="005B1FBB"/>
    <w:rsid w:val="005B253F"/>
    <w:rsid w:val="005B2896"/>
    <w:rsid w:val="005B4CE3"/>
    <w:rsid w:val="005B5265"/>
    <w:rsid w:val="005B5323"/>
    <w:rsid w:val="005B5E06"/>
    <w:rsid w:val="005B6717"/>
    <w:rsid w:val="005B6723"/>
    <w:rsid w:val="005C0E33"/>
    <w:rsid w:val="005C15B3"/>
    <w:rsid w:val="005C1E75"/>
    <w:rsid w:val="005C2CF5"/>
    <w:rsid w:val="005C4135"/>
    <w:rsid w:val="005C5C22"/>
    <w:rsid w:val="005C6A75"/>
    <w:rsid w:val="005C71C7"/>
    <w:rsid w:val="005C7FF4"/>
    <w:rsid w:val="005D12B3"/>
    <w:rsid w:val="005D1541"/>
    <w:rsid w:val="005D1623"/>
    <w:rsid w:val="005D1DDD"/>
    <w:rsid w:val="005D2389"/>
    <w:rsid w:val="005D24E8"/>
    <w:rsid w:val="005D350A"/>
    <w:rsid w:val="005D39A1"/>
    <w:rsid w:val="005D3C34"/>
    <w:rsid w:val="005D3D45"/>
    <w:rsid w:val="005D4CAC"/>
    <w:rsid w:val="005D4E00"/>
    <w:rsid w:val="005D5949"/>
    <w:rsid w:val="005D6D34"/>
    <w:rsid w:val="005E05A9"/>
    <w:rsid w:val="005E0BAE"/>
    <w:rsid w:val="005E0BD4"/>
    <w:rsid w:val="005E219C"/>
    <w:rsid w:val="005E29AD"/>
    <w:rsid w:val="005E32DE"/>
    <w:rsid w:val="005E3B06"/>
    <w:rsid w:val="005E3D08"/>
    <w:rsid w:val="005E403E"/>
    <w:rsid w:val="005E4384"/>
    <w:rsid w:val="005E43AA"/>
    <w:rsid w:val="005E4F21"/>
    <w:rsid w:val="005E51D9"/>
    <w:rsid w:val="005E6096"/>
    <w:rsid w:val="005E7388"/>
    <w:rsid w:val="005F02C1"/>
    <w:rsid w:val="005F05DD"/>
    <w:rsid w:val="005F0603"/>
    <w:rsid w:val="005F13DF"/>
    <w:rsid w:val="005F1939"/>
    <w:rsid w:val="005F23CA"/>
    <w:rsid w:val="005F2F52"/>
    <w:rsid w:val="005F3A1B"/>
    <w:rsid w:val="005F3C7F"/>
    <w:rsid w:val="005F3ECA"/>
    <w:rsid w:val="005F59C4"/>
    <w:rsid w:val="005F5F56"/>
    <w:rsid w:val="005F69AB"/>
    <w:rsid w:val="005F7000"/>
    <w:rsid w:val="005F7986"/>
    <w:rsid w:val="00601064"/>
    <w:rsid w:val="00601B35"/>
    <w:rsid w:val="00601E1D"/>
    <w:rsid w:val="00602371"/>
    <w:rsid w:val="006025F9"/>
    <w:rsid w:val="00602D21"/>
    <w:rsid w:val="00603844"/>
    <w:rsid w:val="00603C0D"/>
    <w:rsid w:val="00603C24"/>
    <w:rsid w:val="006047FB"/>
    <w:rsid w:val="0060498C"/>
    <w:rsid w:val="00606B6B"/>
    <w:rsid w:val="0060701E"/>
    <w:rsid w:val="00607066"/>
    <w:rsid w:val="0060706B"/>
    <w:rsid w:val="00607FA4"/>
    <w:rsid w:val="0061046F"/>
    <w:rsid w:val="00611822"/>
    <w:rsid w:val="0061276E"/>
    <w:rsid w:val="00612E9F"/>
    <w:rsid w:val="00613514"/>
    <w:rsid w:val="006137CD"/>
    <w:rsid w:val="00613EBB"/>
    <w:rsid w:val="006148E6"/>
    <w:rsid w:val="00614FEB"/>
    <w:rsid w:val="00615D25"/>
    <w:rsid w:val="00616114"/>
    <w:rsid w:val="00617994"/>
    <w:rsid w:val="00617BB3"/>
    <w:rsid w:val="00621777"/>
    <w:rsid w:val="00623667"/>
    <w:rsid w:val="00623F78"/>
    <w:rsid w:val="00624129"/>
    <w:rsid w:val="00624808"/>
    <w:rsid w:val="00626F8D"/>
    <w:rsid w:val="0063001A"/>
    <w:rsid w:val="00631377"/>
    <w:rsid w:val="006317A6"/>
    <w:rsid w:val="00631D58"/>
    <w:rsid w:val="006327FA"/>
    <w:rsid w:val="00632CC1"/>
    <w:rsid w:val="006331B1"/>
    <w:rsid w:val="006350FD"/>
    <w:rsid w:val="006357E5"/>
    <w:rsid w:val="00636335"/>
    <w:rsid w:val="00637F71"/>
    <w:rsid w:val="00641218"/>
    <w:rsid w:val="006416DC"/>
    <w:rsid w:val="00641997"/>
    <w:rsid w:val="00641B59"/>
    <w:rsid w:val="00641E16"/>
    <w:rsid w:val="00641FA6"/>
    <w:rsid w:val="006427B8"/>
    <w:rsid w:val="00642948"/>
    <w:rsid w:val="00642FE3"/>
    <w:rsid w:val="00643301"/>
    <w:rsid w:val="00643508"/>
    <w:rsid w:val="00643C58"/>
    <w:rsid w:val="00644D36"/>
    <w:rsid w:val="00644D64"/>
    <w:rsid w:val="00644F9C"/>
    <w:rsid w:val="006450B0"/>
    <w:rsid w:val="006457FD"/>
    <w:rsid w:val="00645F36"/>
    <w:rsid w:val="00646608"/>
    <w:rsid w:val="00647787"/>
    <w:rsid w:val="0064796B"/>
    <w:rsid w:val="00650195"/>
    <w:rsid w:val="00650483"/>
    <w:rsid w:val="006505FF"/>
    <w:rsid w:val="00650ECF"/>
    <w:rsid w:val="00651B2E"/>
    <w:rsid w:val="00652695"/>
    <w:rsid w:val="00652EE7"/>
    <w:rsid w:val="00653109"/>
    <w:rsid w:val="00653518"/>
    <w:rsid w:val="00653BB5"/>
    <w:rsid w:val="00654239"/>
    <w:rsid w:val="00654A55"/>
    <w:rsid w:val="00655036"/>
    <w:rsid w:val="00655359"/>
    <w:rsid w:val="0065545D"/>
    <w:rsid w:val="006556D9"/>
    <w:rsid w:val="006562F3"/>
    <w:rsid w:val="006565E9"/>
    <w:rsid w:val="00656E61"/>
    <w:rsid w:val="00657019"/>
    <w:rsid w:val="00657465"/>
    <w:rsid w:val="00657842"/>
    <w:rsid w:val="00657959"/>
    <w:rsid w:val="006607A1"/>
    <w:rsid w:val="00661406"/>
    <w:rsid w:val="00664057"/>
    <w:rsid w:val="00664655"/>
    <w:rsid w:val="00665024"/>
    <w:rsid w:val="00665096"/>
    <w:rsid w:val="006653AB"/>
    <w:rsid w:val="006653EA"/>
    <w:rsid w:val="00666A1E"/>
    <w:rsid w:val="00667214"/>
    <w:rsid w:val="00667346"/>
    <w:rsid w:val="00667AA2"/>
    <w:rsid w:val="00667B68"/>
    <w:rsid w:val="006700A8"/>
    <w:rsid w:val="00670561"/>
    <w:rsid w:val="0067083A"/>
    <w:rsid w:val="00671364"/>
    <w:rsid w:val="006722F7"/>
    <w:rsid w:val="00672BA6"/>
    <w:rsid w:val="006732D5"/>
    <w:rsid w:val="0067431A"/>
    <w:rsid w:val="00674521"/>
    <w:rsid w:val="00674F41"/>
    <w:rsid w:val="00677350"/>
    <w:rsid w:val="00677354"/>
    <w:rsid w:val="0068019F"/>
    <w:rsid w:val="00680920"/>
    <w:rsid w:val="00682360"/>
    <w:rsid w:val="006825D0"/>
    <w:rsid w:val="00684AB9"/>
    <w:rsid w:val="00684B5B"/>
    <w:rsid w:val="00684F90"/>
    <w:rsid w:val="00685043"/>
    <w:rsid w:val="00685100"/>
    <w:rsid w:val="00685892"/>
    <w:rsid w:val="00685EA9"/>
    <w:rsid w:val="00686820"/>
    <w:rsid w:val="00686E4A"/>
    <w:rsid w:val="006871A7"/>
    <w:rsid w:val="0068761B"/>
    <w:rsid w:val="00690357"/>
    <w:rsid w:val="006908DD"/>
    <w:rsid w:val="00690D5D"/>
    <w:rsid w:val="00690E91"/>
    <w:rsid w:val="00691CFD"/>
    <w:rsid w:val="00692119"/>
    <w:rsid w:val="00693212"/>
    <w:rsid w:val="00693D3A"/>
    <w:rsid w:val="00694E8C"/>
    <w:rsid w:val="006952EA"/>
    <w:rsid w:val="00695503"/>
    <w:rsid w:val="00695AF5"/>
    <w:rsid w:val="00695CAD"/>
    <w:rsid w:val="00695F18"/>
    <w:rsid w:val="00695F40"/>
    <w:rsid w:val="00695FF1"/>
    <w:rsid w:val="0069667C"/>
    <w:rsid w:val="00696683"/>
    <w:rsid w:val="00696828"/>
    <w:rsid w:val="006974F7"/>
    <w:rsid w:val="006A01AA"/>
    <w:rsid w:val="006A20E8"/>
    <w:rsid w:val="006A28C2"/>
    <w:rsid w:val="006A5674"/>
    <w:rsid w:val="006A5944"/>
    <w:rsid w:val="006A5F9D"/>
    <w:rsid w:val="006A6911"/>
    <w:rsid w:val="006A7054"/>
    <w:rsid w:val="006A7366"/>
    <w:rsid w:val="006A75B0"/>
    <w:rsid w:val="006A7E6B"/>
    <w:rsid w:val="006A7E73"/>
    <w:rsid w:val="006B1827"/>
    <w:rsid w:val="006B1CB2"/>
    <w:rsid w:val="006B3F95"/>
    <w:rsid w:val="006B4042"/>
    <w:rsid w:val="006B4E52"/>
    <w:rsid w:val="006B5817"/>
    <w:rsid w:val="006B5D6A"/>
    <w:rsid w:val="006B6DE0"/>
    <w:rsid w:val="006B7964"/>
    <w:rsid w:val="006B7B9F"/>
    <w:rsid w:val="006C195D"/>
    <w:rsid w:val="006C2C68"/>
    <w:rsid w:val="006C2DE7"/>
    <w:rsid w:val="006C33C0"/>
    <w:rsid w:val="006C5825"/>
    <w:rsid w:val="006C639A"/>
    <w:rsid w:val="006C679D"/>
    <w:rsid w:val="006C74F6"/>
    <w:rsid w:val="006D009F"/>
    <w:rsid w:val="006D0A3C"/>
    <w:rsid w:val="006D0A41"/>
    <w:rsid w:val="006D1623"/>
    <w:rsid w:val="006D1BD7"/>
    <w:rsid w:val="006D22CA"/>
    <w:rsid w:val="006D2867"/>
    <w:rsid w:val="006D36DA"/>
    <w:rsid w:val="006D3D48"/>
    <w:rsid w:val="006D48E7"/>
    <w:rsid w:val="006D4F30"/>
    <w:rsid w:val="006D59BF"/>
    <w:rsid w:val="006D6122"/>
    <w:rsid w:val="006D693A"/>
    <w:rsid w:val="006D77BE"/>
    <w:rsid w:val="006D7F38"/>
    <w:rsid w:val="006E0D8A"/>
    <w:rsid w:val="006E0F3F"/>
    <w:rsid w:val="006E10D5"/>
    <w:rsid w:val="006E16D8"/>
    <w:rsid w:val="006E189E"/>
    <w:rsid w:val="006E1A13"/>
    <w:rsid w:val="006E2782"/>
    <w:rsid w:val="006E3BED"/>
    <w:rsid w:val="006E45E8"/>
    <w:rsid w:val="006E4A98"/>
    <w:rsid w:val="006E52E7"/>
    <w:rsid w:val="006E72FA"/>
    <w:rsid w:val="006E791E"/>
    <w:rsid w:val="006F061D"/>
    <w:rsid w:val="006F0CA5"/>
    <w:rsid w:val="006F0FC4"/>
    <w:rsid w:val="006F10FE"/>
    <w:rsid w:val="006F135D"/>
    <w:rsid w:val="006F16B3"/>
    <w:rsid w:val="006F247E"/>
    <w:rsid w:val="006F2548"/>
    <w:rsid w:val="006F2748"/>
    <w:rsid w:val="006F2F29"/>
    <w:rsid w:val="006F31B2"/>
    <w:rsid w:val="006F34BD"/>
    <w:rsid w:val="006F630D"/>
    <w:rsid w:val="006F65B1"/>
    <w:rsid w:val="006F68A4"/>
    <w:rsid w:val="006F68E6"/>
    <w:rsid w:val="006F6CEE"/>
    <w:rsid w:val="006F74C5"/>
    <w:rsid w:val="006F7638"/>
    <w:rsid w:val="0070147C"/>
    <w:rsid w:val="00701820"/>
    <w:rsid w:val="007027A8"/>
    <w:rsid w:val="00702F4E"/>
    <w:rsid w:val="007034CB"/>
    <w:rsid w:val="00703BB3"/>
    <w:rsid w:val="0070457F"/>
    <w:rsid w:val="007049C3"/>
    <w:rsid w:val="00704C78"/>
    <w:rsid w:val="00705465"/>
    <w:rsid w:val="007057C6"/>
    <w:rsid w:val="00707299"/>
    <w:rsid w:val="00707E13"/>
    <w:rsid w:val="00707EE6"/>
    <w:rsid w:val="007116DB"/>
    <w:rsid w:val="00711A43"/>
    <w:rsid w:val="0071218F"/>
    <w:rsid w:val="0071225F"/>
    <w:rsid w:val="007130F9"/>
    <w:rsid w:val="00713EB0"/>
    <w:rsid w:val="007143F0"/>
    <w:rsid w:val="00715248"/>
    <w:rsid w:val="007154FC"/>
    <w:rsid w:val="0071579F"/>
    <w:rsid w:val="007159D7"/>
    <w:rsid w:val="007165B5"/>
    <w:rsid w:val="0071672A"/>
    <w:rsid w:val="00717352"/>
    <w:rsid w:val="007178BF"/>
    <w:rsid w:val="007179F6"/>
    <w:rsid w:val="007200FB"/>
    <w:rsid w:val="0072114C"/>
    <w:rsid w:val="00721270"/>
    <w:rsid w:val="007219B1"/>
    <w:rsid w:val="00721C30"/>
    <w:rsid w:val="00722612"/>
    <w:rsid w:val="007229EE"/>
    <w:rsid w:val="00722A1A"/>
    <w:rsid w:val="00722A3F"/>
    <w:rsid w:val="00722DBB"/>
    <w:rsid w:val="00725798"/>
    <w:rsid w:val="007268B6"/>
    <w:rsid w:val="007271DE"/>
    <w:rsid w:val="0072787C"/>
    <w:rsid w:val="00727BA3"/>
    <w:rsid w:val="00727DE6"/>
    <w:rsid w:val="007302EA"/>
    <w:rsid w:val="00731334"/>
    <w:rsid w:val="00731918"/>
    <w:rsid w:val="007334F2"/>
    <w:rsid w:val="00733948"/>
    <w:rsid w:val="00733B8C"/>
    <w:rsid w:val="00734D45"/>
    <w:rsid w:val="00734DBC"/>
    <w:rsid w:val="00734DC2"/>
    <w:rsid w:val="007355A9"/>
    <w:rsid w:val="00735C63"/>
    <w:rsid w:val="007378DD"/>
    <w:rsid w:val="00737BEB"/>
    <w:rsid w:val="007407D1"/>
    <w:rsid w:val="00740A3B"/>
    <w:rsid w:val="007415B7"/>
    <w:rsid w:val="00741847"/>
    <w:rsid w:val="00741954"/>
    <w:rsid w:val="00741999"/>
    <w:rsid w:val="00741FA5"/>
    <w:rsid w:val="00743019"/>
    <w:rsid w:val="007439EC"/>
    <w:rsid w:val="00743E97"/>
    <w:rsid w:val="007442B8"/>
    <w:rsid w:val="00744324"/>
    <w:rsid w:val="007443EF"/>
    <w:rsid w:val="00745110"/>
    <w:rsid w:val="007465C7"/>
    <w:rsid w:val="00746606"/>
    <w:rsid w:val="0074685A"/>
    <w:rsid w:val="007470F5"/>
    <w:rsid w:val="00750CB9"/>
    <w:rsid w:val="00750D2E"/>
    <w:rsid w:val="0075111E"/>
    <w:rsid w:val="007512E8"/>
    <w:rsid w:val="00751B55"/>
    <w:rsid w:val="00751E44"/>
    <w:rsid w:val="00752145"/>
    <w:rsid w:val="00752296"/>
    <w:rsid w:val="00752ECF"/>
    <w:rsid w:val="007534ED"/>
    <w:rsid w:val="00754426"/>
    <w:rsid w:val="007550D4"/>
    <w:rsid w:val="0075568D"/>
    <w:rsid w:val="007559F0"/>
    <w:rsid w:val="00756890"/>
    <w:rsid w:val="00757675"/>
    <w:rsid w:val="00757798"/>
    <w:rsid w:val="00757DD4"/>
    <w:rsid w:val="00760952"/>
    <w:rsid w:val="0076107F"/>
    <w:rsid w:val="00761385"/>
    <w:rsid w:val="0076170D"/>
    <w:rsid w:val="00761CC2"/>
    <w:rsid w:val="00761CFB"/>
    <w:rsid w:val="007621E2"/>
    <w:rsid w:val="007624EB"/>
    <w:rsid w:val="00762A8C"/>
    <w:rsid w:val="00762D83"/>
    <w:rsid w:val="00763D55"/>
    <w:rsid w:val="00764DCD"/>
    <w:rsid w:val="00764E48"/>
    <w:rsid w:val="007660EE"/>
    <w:rsid w:val="007705F8"/>
    <w:rsid w:val="00770C4C"/>
    <w:rsid w:val="00772F96"/>
    <w:rsid w:val="00773B0E"/>
    <w:rsid w:val="00773CB1"/>
    <w:rsid w:val="00774EF7"/>
    <w:rsid w:val="007750C1"/>
    <w:rsid w:val="007752D1"/>
    <w:rsid w:val="00775A65"/>
    <w:rsid w:val="007762D8"/>
    <w:rsid w:val="00776723"/>
    <w:rsid w:val="00776D70"/>
    <w:rsid w:val="0078049B"/>
    <w:rsid w:val="00780BAC"/>
    <w:rsid w:val="00782350"/>
    <w:rsid w:val="007826A1"/>
    <w:rsid w:val="00783B1F"/>
    <w:rsid w:val="00784C45"/>
    <w:rsid w:val="007853B0"/>
    <w:rsid w:val="00785C51"/>
    <w:rsid w:val="00785DF0"/>
    <w:rsid w:val="007915B8"/>
    <w:rsid w:val="007924AB"/>
    <w:rsid w:val="00792AD5"/>
    <w:rsid w:val="00792E49"/>
    <w:rsid w:val="0079367A"/>
    <w:rsid w:val="007942AB"/>
    <w:rsid w:val="007942D4"/>
    <w:rsid w:val="0079449E"/>
    <w:rsid w:val="00794644"/>
    <w:rsid w:val="0079508F"/>
    <w:rsid w:val="00795321"/>
    <w:rsid w:val="00796C53"/>
    <w:rsid w:val="007975B9"/>
    <w:rsid w:val="007977F6"/>
    <w:rsid w:val="00797C73"/>
    <w:rsid w:val="007A0121"/>
    <w:rsid w:val="007A12CC"/>
    <w:rsid w:val="007A1378"/>
    <w:rsid w:val="007A255C"/>
    <w:rsid w:val="007A27E2"/>
    <w:rsid w:val="007A2810"/>
    <w:rsid w:val="007A2F0E"/>
    <w:rsid w:val="007A34E7"/>
    <w:rsid w:val="007A3860"/>
    <w:rsid w:val="007A3E0D"/>
    <w:rsid w:val="007A3EDF"/>
    <w:rsid w:val="007A4CF8"/>
    <w:rsid w:val="007A4D72"/>
    <w:rsid w:val="007A6B43"/>
    <w:rsid w:val="007A7400"/>
    <w:rsid w:val="007A75F3"/>
    <w:rsid w:val="007A78A6"/>
    <w:rsid w:val="007A7D24"/>
    <w:rsid w:val="007A7F9C"/>
    <w:rsid w:val="007B0170"/>
    <w:rsid w:val="007B09CE"/>
    <w:rsid w:val="007B12DC"/>
    <w:rsid w:val="007B1A31"/>
    <w:rsid w:val="007B1E31"/>
    <w:rsid w:val="007B2447"/>
    <w:rsid w:val="007B2471"/>
    <w:rsid w:val="007B309A"/>
    <w:rsid w:val="007B317A"/>
    <w:rsid w:val="007B3D40"/>
    <w:rsid w:val="007B3F2A"/>
    <w:rsid w:val="007B54BD"/>
    <w:rsid w:val="007B649D"/>
    <w:rsid w:val="007B6C3D"/>
    <w:rsid w:val="007B6D65"/>
    <w:rsid w:val="007B6F57"/>
    <w:rsid w:val="007B72EA"/>
    <w:rsid w:val="007C016C"/>
    <w:rsid w:val="007C0257"/>
    <w:rsid w:val="007C06D5"/>
    <w:rsid w:val="007C1067"/>
    <w:rsid w:val="007C16E6"/>
    <w:rsid w:val="007C247B"/>
    <w:rsid w:val="007C2D25"/>
    <w:rsid w:val="007C2D3E"/>
    <w:rsid w:val="007C32A1"/>
    <w:rsid w:val="007C4076"/>
    <w:rsid w:val="007C4B90"/>
    <w:rsid w:val="007C4D86"/>
    <w:rsid w:val="007C527C"/>
    <w:rsid w:val="007C53DD"/>
    <w:rsid w:val="007C5947"/>
    <w:rsid w:val="007D03AD"/>
    <w:rsid w:val="007D056C"/>
    <w:rsid w:val="007D0E9A"/>
    <w:rsid w:val="007D11F7"/>
    <w:rsid w:val="007D29F0"/>
    <w:rsid w:val="007D302E"/>
    <w:rsid w:val="007D3F72"/>
    <w:rsid w:val="007D4919"/>
    <w:rsid w:val="007D5270"/>
    <w:rsid w:val="007D52BE"/>
    <w:rsid w:val="007D57C2"/>
    <w:rsid w:val="007D5B3C"/>
    <w:rsid w:val="007D6248"/>
    <w:rsid w:val="007D63F9"/>
    <w:rsid w:val="007D7215"/>
    <w:rsid w:val="007D7E0F"/>
    <w:rsid w:val="007D7E37"/>
    <w:rsid w:val="007D7E73"/>
    <w:rsid w:val="007E0B5A"/>
    <w:rsid w:val="007E0C67"/>
    <w:rsid w:val="007E1453"/>
    <w:rsid w:val="007E1743"/>
    <w:rsid w:val="007E267C"/>
    <w:rsid w:val="007E2A4B"/>
    <w:rsid w:val="007E4AF0"/>
    <w:rsid w:val="007E4BA6"/>
    <w:rsid w:val="007E5CEE"/>
    <w:rsid w:val="007E6567"/>
    <w:rsid w:val="007E69D3"/>
    <w:rsid w:val="007E72C8"/>
    <w:rsid w:val="007E7E40"/>
    <w:rsid w:val="007E7F89"/>
    <w:rsid w:val="007F0A85"/>
    <w:rsid w:val="007F0DF4"/>
    <w:rsid w:val="007F15F7"/>
    <w:rsid w:val="007F1690"/>
    <w:rsid w:val="007F19DC"/>
    <w:rsid w:val="007F1D4D"/>
    <w:rsid w:val="007F2C2C"/>
    <w:rsid w:val="007F3267"/>
    <w:rsid w:val="007F3506"/>
    <w:rsid w:val="007F36A2"/>
    <w:rsid w:val="007F3B70"/>
    <w:rsid w:val="007F422C"/>
    <w:rsid w:val="007F4637"/>
    <w:rsid w:val="007F53DF"/>
    <w:rsid w:val="007F5F6F"/>
    <w:rsid w:val="007F6128"/>
    <w:rsid w:val="007F6B2C"/>
    <w:rsid w:val="00800179"/>
    <w:rsid w:val="00800E30"/>
    <w:rsid w:val="00800E38"/>
    <w:rsid w:val="0080119B"/>
    <w:rsid w:val="00801299"/>
    <w:rsid w:val="00801EF2"/>
    <w:rsid w:val="008024CA"/>
    <w:rsid w:val="00802870"/>
    <w:rsid w:val="00803C69"/>
    <w:rsid w:val="00803CF3"/>
    <w:rsid w:val="008065C8"/>
    <w:rsid w:val="008072D8"/>
    <w:rsid w:val="00807CA6"/>
    <w:rsid w:val="0081010C"/>
    <w:rsid w:val="00810422"/>
    <w:rsid w:val="008116A8"/>
    <w:rsid w:val="00811AC9"/>
    <w:rsid w:val="008121E2"/>
    <w:rsid w:val="00812CE1"/>
    <w:rsid w:val="008136B0"/>
    <w:rsid w:val="00813805"/>
    <w:rsid w:val="00813D2B"/>
    <w:rsid w:val="0081436A"/>
    <w:rsid w:val="008150AD"/>
    <w:rsid w:val="008151A5"/>
    <w:rsid w:val="0081601E"/>
    <w:rsid w:val="00816FD8"/>
    <w:rsid w:val="00820159"/>
    <w:rsid w:val="0082094D"/>
    <w:rsid w:val="00820FB0"/>
    <w:rsid w:val="00821F05"/>
    <w:rsid w:val="008233E1"/>
    <w:rsid w:val="00824839"/>
    <w:rsid w:val="00824F6A"/>
    <w:rsid w:val="00826280"/>
    <w:rsid w:val="00826359"/>
    <w:rsid w:val="008269FA"/>
    <w:rsid w:val="00826A31"/>
    <w:rsid w:val="00826EEB"/>
    <w:rsid w:val="0082796F"/>
    <w:rsid w:val="00827A6A"/>
    <w:rsid w:val="008306CE"/>
    <w:rsid w:val="008315BC"/>
    <w:rsid w:val="00831892"/>
    <w:rsid w:val="00831C16"/>
    <w:rsid w:val="00831DB8"/>
    <w:rsid w:val="008320A9"/>
    <w:rsid w:val="008324FE"/>
    <w:rsid w:val="0083320A"/>
    <w:rsid w:val="0083326A"/>
    <w:rsid w:val="00833D89"/>
    <w:rsid w:val="008370CB"/>
    <w:rsid w:val="00840198"/>
    <w:rsid w:val="008402CA"/>
    <w:rsid w:val="00840CCB"/>
    <w:rsid w:val="0084158B"/>
    <w:rsid w:val="00841AC7"/>
    <w:rsid w:val="00841BE4"/>
    <w:rsid w:val="00841CD3"/>
    <w:rsid w:val="00842117"/>
    <w:rsid w:val="00842615"/>
    <w:rsid w:val="00842735"/>
    <w:rsid w:val="0084295D"/>
    <w:rsid w:val="0084309B"/>
    <w:rsid w:val="00844A30"/>
    <w:rsid w:val="00845063"/>
    <w:rsid w:val="00845D51"/>
    <w:rsid w:val="008467D2"/>
    <w:rsid w:val="00847F7F"/>
    <w:rsid w:val="00847FD2"/>
    <w:rsid w:val="008504F0"/>
    <w:rsid w:val="00850A35"/>
    <w:rsid w:val="00850A3B"/>
    <w:rsid w:val="00850B94"/>
    <w:rsid w:val="00850BA2"/>
    <w:rsid w:val="00851618"/>
    <w:rsid w:val="008516CA"/>
    <w:rsid w:val="008537EF"/>
    <w:rsid w:val="0085390D"/>
    <w:rsid w:val="008539FB"/>
    <w:rsid w:val="008544AB"/>
    <w:rsid w:val="008544DA"/>
    <w:rsid w:val="00854975"/>
    <w:rsid w:val="0085518B"/>
    <w:rsid w:val="008557CE"/>
    <w:rsid w:val="008562DD"/>
    <w:rsid w:val="00856CB2"/>
    <w:rsid w:val="0085710B"/>
    <w:rsid w:val="0085795C"/>
    <w:rsid w:val="00860CB9"/>
    <w:rsid w:val="00860E99"/>
    <w:rsid w:val="00861376"/>
    <w:rsid w:val="008616E7"/>
    <w:rsid w:val="00861C44"/>
    <w:rsid w:val="008623A7"/>
    <w:rsid w:val="00862F93"/>
    <w:rsid w:val="00863666"/>
    <w:rsid w:val="00863729"/>
    <w:rsid w:val="00864056"/>
    <w:rsid w:val="00864970"/>
    <w:rsid w:val="008654DE"/>
    <w:rsid w:val="00865564"/>
    <w:rsid w:val="008658B4"/>
    <w:rsid w:val="00865B2C"/>
    <w:rsid w:val="00865E8C"/>
    <w:rsid w:val="0086613D"/>
    <w:rsid w:val="008662CF"/>
    <w:rsid w:val="008674A1"/>
    <w:rsid w:val="008708EF"/>
    <w:rsid w:val="00872AB3"/>
    <w:rsid w:val="00872B56"/>
    <w:rsid w:val="008731D5"/>
    <w:rsid w:val="00873682"/>
    <w:rsid w:val="00874E4F"/>
    <w:rsid w:val="00875251"/>
    <w:rsid w:val="008752FD"/>
    <w:rsid w:val="00875EBF"/>
    <w:rsid w:val="00876720"/>
    <w:rsid w:val="008767E7"/>
    <w:rsid w:val="00876C65"/>
    <w:rsid w:val="00876D5D"/>
    <w:rsid w:val="00880F8C"/>
    <w:rsid w:val="00881853"/>
    <w:rsid w:val="008818CF"/>
    <w:rsid w:val="008826D8"/>
    <w:rsid w:val="0088270E"/>
    <w:rsid w:val="00883FF0"/>
    <w:rsid w:val="008855B6"/>
    <w:rsid w:val="0088584B"/>
    <w:rsid w:val="008864E4"/>
    <w:rsid w:val="0088694B"/>
    <w:rsid w:val="00887FC3"/>
    <w:rsid w:val="00890B1A"/>
    <w:rsid w:val="0089125D"/>
    <w:rsid w:val="00891539"/>
    <w:rsid w:val="00891D2A"/>
    <w:rsid w:val="0089234D"/>
    <w:rsid w:val="00892D26"/>
    <w:rsid w:val="00892EB8"/>
    <w:rsid w:val="0089537F"/>
    <w:rsid w:val="00895C66"/>
    <w:rsid w:val="00896256"/>
    <w:rsid w:val="008963BF"/>
    <w:rsid w:val="008966D4"/>
    <w:rsid w:val="00897183"/>
    <w:rsid w:val="008A147B"/>
    <w:rsid w:val="008A2524"/>
    <w:rsid w:val="008A3838"/>
    <w:rsid w:val="008A3E12"/>
    <w:rsid w:val="008A5092"/>
    <w:rsid w:val="008A5883"/>
    <w:rsid w:val="008A70F0"/>
    <w:rsid w:val="008A7128"/>
    <w:rsid w:val="008A72F0"/>
    <w:rsid w:val="008A790A"/>
    <w:rsid w:val="008A7D45"/>
    <w:rsid w:val="008A7FB1"/>
    <w:rsid w:val="008B08C0"/>
    <w:rsid w:val="008B192A"/>
    <w:rsid w:val="008B27F3"/>
    <w:rsid w:val="008B3027"/>
    <w:rsid w:val="008B3830"/>
    <w:rsid w:val="008B457F"/>
    <w:rsid w:val="008B5115"/>
    <w:rsid w:val="008B5660"/>
    <w:rsid w:val="008B56DF"/>
    <w:rsid w:val="008B6028"/>
    <w:rsid w:val="008B6266"/>
    <w:rsid w:val="008B6863"/>
    <w:rsid w:val="008B76B9"/>
    <w:rsid w:val="008B770B"/>
    <w:rsid w:val="008B7907"/>
    <w:rsid w:val="008B7D1C"/>
    <w:rsid w:val="008B7E04"/>
    <w:rsid w:val="008C0163"/>
    <w:rsid w:val="008C03F7"/>
    <w:rsid w:val="008C05DA"/>
    <w:rsid w:val="008C08CA"/>
    <w:rsid w:val="008C0EDF"/>
    <w:rsid w:val="008C155C"/>
    <w:rsid w:val="008C156E"/>
    <w:rsid w:val="008C213C"/>
    <w:rsid w:val="008C2974"/>
    <w:rsid w:val="008C2EA4"/>
    <w:rsid w:val="008C3723"/>
    <w:rsid w:val="008C3C27"/>
    <w:rsid w:val="008C4D65"/>
    <w:rsid w:val="008C72F4"/>
    <w:rsid w:val="008C7835"/>
    <w:rsid w:val="008C7C72"/>
    <w:rsid w:val="008D0AFB"/>
    <w:rsid w:val="008D1A29"/>
    <w:rsid w:val="008D300E"/>
    <w:rsid w:val="008D337C"/>
    <w:rsid w:val="008D4613"/>
    <w:rsid w:val="008D4615"/>
    <w:rsid w:val="008D51F3"/>
    <w:rsid w:val="008D58C5"/>
    <w:rsid w:val="008D5CCD"/>
    <w:rsid w:val="008D5E47"/>
    <w:rsid w:val="008D6083"/>
    <w:rsid w:val="008D6369"/>
    <w:rsid w:val="008E00EA"/>
    <w:rsid w:val="008E03CC"/>
    <w:rsid w:val="008E03E9"/>
    <w:rsid w:val="008E1688"/>
    <w:rsid w:val="008E2750"/>
    <w:rsid w:val="008E2AEA"/>
    <w:rsid w:val="008E3FFE"/>
    <w:rsid w:val="008E44B8"/>
    <w:rsid w:val="008E44BA"/>
    <w:rsid w:val="008E46C5"/>
    <w:rsid w:val="008E4782"/>
    <w:rsid w:val="008E52EF"/>
    <w:rsid w:val="008E5452"/>
    <w:rsid w:val="008E56AE"/>
    <w:rsid w:val="008E5A41"/>
    <w:rsid w:val="008E6242"/>
    <w:rsid w:val="008E67F7"/>
    <w:rsid w:val="008E6CE0"/>
    <w:rsid w:val="008E754F"/>
    <w:rsid w:val="008E7588"/>
    <w:rsid w:val="008E75EF"/>
    <w:rsid w:val="008E7C17"/>
    <w:rsid w:val="008E7FF7"/>
    <w:rsid w:val="008F05F5"/>
    <w:rsid w:val="008F08EA"/>
    <w:rsid w:val="008F09D9"/>
    <w:rsid w:val="008F3878"/>
    <w:rsid w:val="008F4D07"/>
    <w:rsid w:val="008F530C"/>
    <w:rsid w:val="008F58F8"/>
    <w:rsid w:val="008F5E8C"/>
    <w:rsid w:val="008F610D"/>
    <w:rsid w:val="008F672B"/>
    <w:rsid w:val="008F75FC"/>
    <w:rsid w:val="0090025B"/>
    <w:rsid w:val="00900EFF"/>
    <w:rsid w:val="009012C0"/>
    <w:rsid w:val="00902B5F"/>
    <w:rsid w:val="009036AE"/>
    <w:rsid w:val="00903971"/>
    <w:rsid w:val="00903D79"/>
    <w:rsid w:val="009043E3"/>
    <w:rsid w:val="0090459A"/>
    <w:rsid w:val="0090476C"/>
    <w:rsid w:val="00904FC4"/>
    <w:rsid w:val="0090538F"/>
    <w:rsid w:val="00907E30"/>
    <w:rsid w:val="0091110C"/>
    <w:rsid w:val="00913348"/>
    <w:rsid w:val="00913EA7"/>
    <w:rsid w:val="00914F7C"/>
    <w:rsid w:val="00915643"/>
    <w:rsid w:val="00915A17"/>
    <w:rsid w:val="009161FC"/>
    <w:rsid w:val="00917432"/>
    <w:rsid w:val="0091772D"/>
    <w:rsid w:val="009178FB"/>
    <w:rsid w:val="00917CA4"/>
    <w:rsid w:val="00920710"/>
    <w:rsid w:val="00920719"/>
    <w:rsid w:val="00920C35"/>
    <w:rsid w:val="00921192"/>
    <w:rsid w:val="00921458"/>
    <w:rsid w:val="00921D2E"/>
    <w:rsid w:val="0092268E"/>
    <w:rsid w:val="00922E32"/>
    <w:rsid w:val="00923713"/>
    <w:rsid w:val="009237D8"/>
    <w:rsid w:val="00924162"/>
    <w:rsid w:val="00924C3A"/>
    <w:rsid w:val="00924F55"/>
    <w:rsid w:val="0092519D"/>
    <w:rsid w:val="00926C0E"/>
    <w:rsid w:val="009275F9"/>
    <w:rsid w:val="0092763E"/>
    <w:rsid w:val="00927D49"/>
    <w:rsid w:val="0093026B"/>
    <w:rsid w:val="00930DF8"/>
    <w:rsid w:val="00931742"/>
    <w:rsid w:val="00931A64"/>
    <w:rsid w:val="009328BE"/>
    <w:rsid w:val="00932C4B"/>
    <w:rsid w:val="00932E61"/>
    <w:rsid w:val="009332B0"/>
    <w:rsid w:val="00933D3D"/>
    <w:rsid w:val="00933DAA"/>
    <w:rsid w:val="009342B7"/>
    <w:rsid w:val="00934AB6"/>
    <w:rsid w:val="00936738"/>
    <w:rsid w:val="0093677F"/>
    <w:rsid w:val="00936A9D"/>
    <w:rsid w:val="00936C4C"/>
    <w:rsid w:val="009375F0"/>
    <w:rsid w:val="00937988"/>
    <w:rsid w:val="00937A95"/>
    <w:rsid w:val="009407B7"/>
    <w:rsid w:val="009407FD"/>
    <w:rsid w:val="0094191E"/>
    <w:rsid w:val="00941A97"/>
    <w:rsid w:val="009427FC"/>
    <w:rsid w:val="00942FCE"/>
    <w:rsid w:val="009437B3"/>
    <w:rsid w:val="009449B2"/>
    <w:rsid w:val="0094562F"/>
    <w:rsid w:val="00947024"/>
    <w:rsid w:val="00950659"/>
    <w:rsid w:val="00950DFC"/>
    <w:rsid w:val="009511CC"/>
    <w:rsid w:val="0095134B"/>
    <w:rsid w:val="00951BD4"/>
    <w:rsid w:val="00951DBC"/>
    <w:rsid w:val="009544CA"/>
    <w:rsid w:val="00954818"/>
    <w:rsid w:val="009549C6"/>
    <w:rsid w:val="009551E8"/>
    <w:rsid w:val="00955886"/>
    <w:rsid w:val="00957916"/>
    <w:rsid w:val="00957D49"/>
    <w:rsid w:val="00957E45"/>
    <w:rsid w:val="00960210"/>
    <w:rsid w:val="00960E24"/>
    <w:rsid w:val="00960E86"/>
    <w:rsid w:val="00961838"/>
    <w:rsid w:val="009619A0"/>
    <w:rsid w:val="00962C77"/>
    <w:rsid w:val="009632E9"/>
    <w:rsid w:val="00964CF1"/>
    <w:rsid w:val="009654AB"/>
    <w:rsid w:val="00966704"/>
    <w:rsid w:val="009668D7"/>
    <w:rsid w:val="00966A4D"/>
    <w:rsid w:val="00966B37"/>
    <w:rsid w:val="00967231"/>
    <w:rsid w:val="0096740A"/>
    <w:rsid w:val="009677A2"/>
    <w:rsid w:val="009678DF"/>
    <w:rsid w:val="009704B5"/>
    <w:rsid w:val="00970723"/>
    <w:rsid w:val="00970B8A"/>
    <w:rsid w:val="009711CD"/>
    <w:rsid w:val="009716F5"/>
    <w:rsid w:val="00972532"/>
    <w:rsid w:val="00972F98"/>
    <w:rsid w:val="009731C2"/>
    <w:rsid w:val="00973D85"/>
    <w:rsid w:val="00974630"/>
    <w:rsid w:val="00974CE0"/>
    <w:rsid w:val="0097508A"/>
    <w:rsid w:val="00975105"/>
    <w:rsid w:val="00975A82"/>
    <w:rsid w:val="00975E14"/>
    <w:rsid w:val="009768EC"/>
    <w:rsid w:val="00976D80"/>
    <w:rsid w:val="00977A4D"/>
    <w:rsid w:val="00977B81"/>
    <w:rsid w:val="00977CC9"/>
    <w:rsid w:val="009803B9"/>
    <w:rsid w:val="009810FF"/>
    <w:rsid w:val="00982AA4"/>
    <w:rsid w:val="00983127"/>
    <w:rsid w:val="0098364D"/>
    <w:rsid w:val="00983C3D"/>
    <w:rsid w:val="00983D69"/>
    <w:rsid w:val="00984485"/>
    <w:rsid w:val="00984824"/>
    <w:rsid w:val="00984898"/>
    <w:rsid w:val="00984917"/>
    <w:rsid w:val="00984DA5"/>
    <w:rsid w:val="00984DA9"/>
    <w:rsid w:val="00985483"/>
    <w:rsid w:val="00985848"/>
    <w:rsid w:val="009866D3"/>
    <w:rsid w:val="00986823"/>
    <w:rsid w:val="00986BEB"/>
    <w:rsid w:val="00987180"/>
    <w:rsid w:val="009872B5"/>
    <w:rsid w:val="00987BE4"/>
    <w:rsid w:val="00987E5E"/>
    <w:rsid w:val="009901A9"/>
    <w:rsid w:val="0099049F"/>
    <w:rsid w:val="00990A8C"/>
    <w:rsid w:val="009917DC"/>
    <w:rsid w:val="00991C71"/>
    <w:rsid w:val="009923AE"/>
    <w:rsid w:val="00992F4D"/>
    <w:rsid w:val="009930D1"/>
    <w:rsid w:val="0099312B"/>
    <w:rsid w:val="00994472"/>
    <w:rsid w:val="0099480F"/>
    <w:rsid w:val="00994B40"/>
    <w:rsid w:val="00994EE1"/>
    <w:rsid w:val="0099521F"/>
    <w:rsid w:val="0099561E"/>
    <w:rsid w:val="00995D37"/>
    <w:rsid w:val="00995D56"/>
    <w:rsid w:val="009964E0"/>
    <w:rsid w:val="00996B97"/>
    <w:rsid w:val="00996BF0"/>
    <w:rsid w:val="00996F53"/>
    <w:rsid w:val="00997A79"/>
    <w:rsid w:val="009A0E5E"/>
    <w:rsid w:val="009A2180"/>
    <w:rsid w:val="009A218A"/>
    <w:rsid w:val="009A25A6"/>
    <w:rsid w:val="009A2788"/>
    <w:rsid w:val="009A2880"/>
    <w:rsid w:val="009A2DBA"/>
    <w:rsid w:val="009A3625"/>
    <w:rsid w:val="009A371E"/>
    <w:rsid w:val="009A37BA"/>
    <w:rsid w:val="009A43B2"/>
    <w:rsid w:val="009A48C3"/>
    <w:rsid w:val="009A518F"/>
    <w:rsid w:val="009A5FA8"/>
    <w:rsid w:val="009A617F"/>
    <w:rsid w:val="009A6526"/>
    <w:rsid w:val="009A6A83"/>
    <w:rsid w:val="009A6BCD"/>
    <w:rsid w:val="009A7437"/>
    <w:rsid w:val="009A7617"/>
    <w:rsid w:val="009A7AC9"/>
    <w:rsid w:val="009A7F22"/>
    <w:rsid w:val="009B02F2"/>
    <w:rsid w:val="009B0AEA"/>
    <w:rsid w:val="009B0D03"/>
    <w:rsid w:val="009B0ED6"/>
    <w:rsid w:val="009B38C8"/>
    <w:rsid w:val="009B38DF"/>
    <w:rsid w:val="009B3FEF"/>
    <w:rsid w:val="009B44A0"/>
    <w:rsid w:val="009B4E3A"/>
    <w:rsid w:val="009B56AD"/>
    <w:rsid w:val="009B6022"/>
    <w:rsid w:val="009B75C2"/>
    <w:rsid w:val="009B7673"/>
    <w:rsid w:val="009B7999"/>
    <w:rsid w:val="009B79BB"/>
    <w:rsid w:val="009C0C69"/>
    <w:rsid w:val="009C1722"/>
    <w:rsid w:val="009C3541"/>
    <w:rsid w:val="009C379B"/>
    <w:rsid w:val="009C41C8"/>
    <w:rsid w:val="009C448F"/>
    <w:rsid w:val="009C4BC0"/>
    <w:rsid w:val="009C4DCF"/>
    <w:rsid w:val="009C4E68"/>
    <w:rsid w:val="009C4FA9"/>
    <w:rsid w:val="009C6544"/>
    <w:rsid w:val="009C6867"/>
    <w:rsid w:val="009D0353"/>
    <w:rsid w:val="009D0413"/>
    <w:rsid w:val="009D0447"/>
    <w:rsid w:val="009D05C1"/>
    <w:rsid w:val="009D0E62"/>
    <w:rsid w:val="009D2E12"/>
    <w:rsid w:val="009D3522"/>
    <w:rsid w:val="009D3F42"/>
    <w:rsid w:val="009D40DC"/>
    <w:rsid w:val="009D60FF"/>
    <w:rsid w:val="009D623E"/>
    <w:rsid w:val="009D6550"/>
    <w:rsid w:val="009D68C9"/>
    <w:rsid w:val="009D6D01"/>
    <w:rsid w:val="009D7A59"/>
    <w:rsid w:val="009E0AB3"/>
    <w:rsid w:val="009E0BAC"/>
    <w:rsid w:val="009E1B88"/>
    <w:rsid w:val="009E22AF"/>
    <w:rsid w:val="009E287F"/>
    <w:rsid w:val="009E40BB"/>
    <w:rsid w:val="009E5D43"/>
    <w:rsid w:val="009E61D8"/>
    <w:rsid w:val="009E6407"/>
    <w:rsid w:val="009E649A"/>
    <w:rsid w:val="009E6667"/>
    <w:rsid w:val="009E682F"/>
    <w:rsid w:val="009E6ABF"/>
    <w:rsid w:val="009E6B49"/>
    <w:rsid w:val="009E6B99"/>
    <w:rsid w:val="009E7233"/>
    <w:rsid w:val="009E7525"/>
    <w:rsid w:val="009F0F63"/>
    <w:rsid w:val="009F2CF6"/>
    <w:rsid w:val="009F2EF5"/>
    <w:rsid w:val="009F37D2"/>
    <w:rsid w:val="009F38C1"/>
    <w:rsid w:val="009F4822"/>
    <w:rsid w:val="009F4DF2"/>
    <w:rsid w:val="009F55BA"/>
    <w:rsid w:val="009F56A5"/>
    <w:rsid w:val="009F58D1"/>
    <w:rsid w:val="009F6035"/>
    <w:rsid w:val="009F6872"/>
    <w:rsid w:val="00A0012D"/>
    <w:rsid w:val="00A0044C"/>
    <w:rsid w:val="00A006A7"/>
    <w:rsid w:val="00A0100C"/>
    <w:rsid w:val="00A01341"/>
    <w:rsid w:val="00A01A33"/>
    <w:rsid w:val="00A01A96"/>
    <w:rsid w:val="00A028A5"/>
    <w:rsid w:val="00A02BA9"/>
    <w:rsid w:val="00A034D4"/>
    <w:rsid w:val="00A0558F"/>
    <w:rsid w:val="00A05AE8"/>
    <w:rsid w:val="00A05B8C"/>
    <w:rsid w:val="00A05F91"/>
    <w:rsid w:val="00A06460"/>
    <w:rsid w:val="00A06932"/>
    <w:rsid w:val="00A06A67"/>
    <w:rsid w:val="00A0738A"/>
    <w:rsid w:val="00A07614"/>
    <w:rsid w:val="00A07EF5"/>
    <w:rsid w:val="00A1130F"/>
    <w:rsid w:val="00A129B0"/>
    <w:rsid w:val="00A12D51"/>
    <w:rsid w:val="00A12D6F"/>
    <w:rsid w:val="00A13CA4"/>
    <w:rsid w:val="00A14055"/>
    <w:rsid w:val="00A14098"/>
    <w:rsid w:val="00A14CCB"/>
    <w:rsid w:val="00A14D8C"/>
    <w:rsid w:val="00A156D0"/>
    <w:rsid w:val="00A164CC"/>
    <w:rsid w:val="00A16975"/>
    <w:rsid w:val="00A16B1C"/>
    <w:rsid w:val="00A16C1D"/>
    <w:rsid w:val="00A17595"/>
    <w:rsid w:val="00A20150"/>
    <w:rsid w:val="00A20A9C"/>
    <w:rsid w:val="00A210FB"/>
    <w:rsid w:val="00A2215B"/>
    <w:rsid w:val="00A23CE5"/>
    <w:rsid w:val="00A24C8F"/>
    <w:rsid w:val="00A25B75"/>
    <w:rsid w:val="00A25C6D"/>
    <w:rsid w:val="00A276FD"/>
    <w:rsid w:val="00A300F2"/>
    <w:rsid w:val="00A30CD4"/>
    <w:rsid w:val="00A31873"/>
    <w:rsid w:val="00A318AA"/>
    <w:rsid w:val="00A32AE2"/>
    <w:rsid w:val="00A32B38"/>
    <w:rsid w:val="00A33015"/>
    <w:rsid w:val="00A337D4"/>
    <w:rsid w:val="00A3398B"/>
    <w:rsid w:val="00A3404D"/>
    <w:rsid w:val="00A34412"/>
    <w:rsid w:val="00A35450"/>
    <w:rsid w:val="00A35A82"/>
    <w:rsid w:val="00A3634C"/>
    <w:rsid w:val="00A369B5"/>
    <w:rsid w:val="00A37989"/>
    <w:rsid w:val="00A37B1F"/>
    <w:rsid w:val="00A415EF"/>
    <w:rsid w:val="00A41C2D"/>
    <w:rsid w:val="00A42277"/>
    <w:rsid w:val="00A422E8"/>
    <w:rsid w:val="00A42B04"/>
    <w:rsid w:val="00A437B9"/>
    <w:rsid w:val="00A4454B"/>
    <w:rsid w:val="00A46732"/>
    <w:rsid w:val="00A5015D"/>
    <w:rsid w:val="00A50C7F"/>
    <w:rsid w:val="00A5116A"/>
    <w:rsid w:val="00A51AA8"/>
    <w:rsid w:val="00A51EE5"/>
    <w:rsid w:val="00A52093"/>
    <w:rsid w:val="00A535F9"/>
    <w:rsid w:val="00A5468E"/>
    <w:rsid w:val="00A55740"/>
    <w:rsid w:val="00A55AD8"/>
    <w:rsid w:val="00A56487"/>
    <w:rsid w:val="00A568C6"/>
    <w:rsid w:val="00A56944"/>
    <w:rsid w:val="00A56C20"/>
    <w:rsid w:val="00A56DA9"/>
    <w:rsid w:val="00A56FA8"/>
    <w:rsid w:val="00A57D35"/>
    <w:rsid w:val="00A607EC"/>
    <w:rsid w:val="00A61946"/>
    <w:rsid w:val="00A627E3"/>
    <w:rsid w:val="00A63166"/>
    <w:rsid w:val="00A63C69"/>
    <w:rsid w:val="00A64BF8"/>
    <w:rsid w:val="00A64C23"/>
    <w:rsid w:val="00A65182"/>
    <w:rsid w:val="00A65365"/>
    <w:rsid w:val="00A65B87"/>
    <w:rsid w:val="00A65EA2"/>
    <w:rsid w:val="00A667E3"/>
    <w:rsid w:val="00A66C80"/>
    <w:rsid w:val="00A66EC8"/>
    <w:rsid w:val="00A676C0"/>
    <w:rsid w:val="00A67859"/>
    <w:rsid w:val="00A701E4"/>
    <w:rsid w:val="00A70F1E"/>
    <w:rsid w:val="00A739D4"/>
    <w:rsid w:val="00A73C9F"/>
    <w:rsid w:val="00A743D3"/>
    <w:rsid w:val="00A7612A"/>
    <w:rsid w:val="00A76B1E"/>
    <w:rsid w:val="00A77A08"/>
    <w:rsid w:val="00A804E5"/>
    <w:rsid w:val="00A809BE"/>
    <w:rsid w:val="00A80C05"/>
    <w:rsid w:val="00A8131D"/>
    <w:rsid w:val="00A8181E"/>
    <w:rsid w:val="00A8196D"/>
    <w:rsid w:val="00A82128"/>
    <w:rsid w:val="00A82A68"/>
    <w:rsid w:val="00A82BA5"/>
    <w:rsid w:val="00A83D34"/>
    <w:rsid w:val="00A83E51"/>
    <w:rsid w:val="00A841F2"/>
    <w:rsid w:val="00A85610"/>
    <w:rsid w:val="00A85A51"/>
    <w:rsid w:val="00A873CA"/>
    <w:rsid w:val="00A87A31"/>
    <w:rsid w:val="00A87C49"/>
    <w:rsid w:val="00A900E4"/>
    <w:rsid w:val="00A90714"/>
    <w:rsid w:val="00A90C61"/>
    <w:rsid w:val="00A90CE0"/>
    <w:rsid w:val="00A911DB"/>
    <w:rsid w:val="00A91276"/>
    <w:rsid w:val="00A91CB2"/>
    <w:rsid w:val="00A92257"/>
    <w:rsid w:val="00A93D7D"/>
    <w:rsid w:val="00A93EF1"/>
    <w:rsid w:val="00A946B9"/>
    <w:rsid w:val="00A96574"/>
    <w:rsid w:val="00A9672A"/>
    <w:rsid w:val="00A9686B"/>
    <w:rsid w:val="00A9698B"/>
    <w:rsid w:val="00A96CD4"/>
    <w:rsid w:val="00A97B00"/>
    <w:rsid w:val="00AA0726"/>
    <w:rsid w:val="00AA26B7"/>
    <w:rsid w:val="00AA271C"/>
    <w:rsid w:val="00AA3363"/>
    <w:rsid w:val="00AA39B4"/>
    <w:rsid w:val="00AA3F0E"/>
    <w:rsid w:val="00AA3F5F"/>
    <w:rsid w:val="00AA43D0"/>
    <w:rsid w:val="00AA4745"/>
    <w:rsid w:val="00AA6E1D"/>
    <w:rsid w:val="00AA78DA"/>
    <w:rsid w:val="00AA7987"/>
    <w:rsid w:val="00AA7BA9"/>
    <w:rsid w:val="00AB0016"/>
    <w:rsid w:val="00AB0061"/>
    <w:rsid w:val="00AB0BB6"/>
    <w:rsid w:val="00AB40AC"/>
    <w:rsid w:val="00AB4A05"/>
    <w:rsid w:val="00AB4CA5"/>
    <w:rsid w:val="00AB4E9E"/>
    <w:rsid w:val="00AB4F43"/>
    <w:rsid w:val="00AB50F3"/>
    <w:rsid w:val="00AB5692"/>
    <w:rsid w:val="00AB5927"/>
    <w:rsid w:val="00AB6D8B"/>
    <w:rsid w:val="00AB74DC"/>
    <w:rsid w:val="00AB775A"/>
    <w:rsid w:val="00AB7773"/>
    <w:rsid w:val="00AB79CF"/>
    <w:rsid w:val="00AC00D1"/>
    <w:rsid w:val="00AC0A58"/>
    <w:rsid w:val="00AC1FA0"/>
    <w:rsid w:val="00AC204D"/>
    <w:rsid w:val="00AC2F3F"/>
    <w:rsid w:val="00AC3424"/>
    <w:rsid w:val="00AC3769"/>
    <w:rsid w:val="00AC4F16"/>
    <w:rsid w:val="00AC56C1"/>
    <w:rsid w:val="00AC5A31"/>
    <w:rsid w:val="00AC5ACC"/>
    <w:rsid w:val="00AC5ADC"/>
    <w:rsid w:val="00AC5BA9"/>
    <w:rsid w:val="00AC5C1C"/>
    <w:rsid w:val="00AC5EC5"/>
    <w:rsid w:val="00AC6452"/>
    <w:rsid w:val="00AC6613"/>
    <w:rsid w:val="00AC6756"/>
    <w:rsid w:val="00AC71D4"/>
    <w:rsid w:val="00AC73EC"/>
    <w:rsid w:val="00AC7833"/>
    <w:rsid w:val="00AC7D12"/>
    <w:rsid w:val="00AD156B"/>
    <w:rsid w:val="00AD2E68"/>
    <w:rsid w:val="00AD2FC1"/>
    <w:rsid w:val="00AD36DD"/>
    <w:rsid w:val="00AD4036"/>
    <w:rsid w:val="00AD4220"/>
    <w:rsid w:val="00AD5B67"/>
    <w:rsid w:val="00AD68E1"/>
    <w:rsid w:val="00AD6F04"/>
    <w:rsid w:val="00AD7334"/>
    <w:rsid w:val="00AD7A16"/>
    <w:rsid w:val="00AE188A"/>
    <w:rsid w:val="00AE1D46"/>
    <w:rsid w:val="00AE2009"/>
    <w:rsid w:val="00AE221E"/>
    <w:rsid w:val="00AE301D"/>
    <w:rsid w:val="00AE30FF"/>
    <w:rsid w:val="00AE3ECE"/>
    <w:rsid w:val="00AE5597"/>
    <w:rsid w:val="00AE56C0"/>
    <w:rsid w:val="00AE6143"/>
    <w:rsid w:val="00AE6255"/>
    <w:rsid w:val="00AE6FE3"/>
    <w:rsid w:val="00AE7357"/>
    <w:rsid w:val="00AE78D0"/>
    <w:rsid w:val="00AE7BC0"/>
    <w:rsid w:val="00AF02D8"/>
    <w:rsid w:val="00AF06D4"/>
    <w:rsid w:val="00AF0F90"/>
    <w:rsid w:val="00AF1271"/>
    <w:rsid w:val="00AF14E7"/>
    <w:rsid w:val="00AF2393"/>
    <w:rsid w:val="00AF2570"/>
    <w:rsid w:val="00AF3031"/>
    <w:rsid w:val="00AF3924"/>
    <w:rsid w:val="00AF3C9B"/>
    <w:rsid w:val="00AF3DCA"/>
    <w:rsid w:val="00AF3FC6"/>
    <w:rsid w:val="00AF40EA"/>
    <w:rsid w:val="00AF42B8"/>
    <w:rsid w:val="00AF447A"/>
    <w:rsid w:val="00AF58EC"/>
    <w:rsid w:val="00AF61A4"/>
    <w:rsid w:val="00AF6BEE"/>
    <w:rsid w:val="00AF7387"/>
    <w:rsid w:val="00B0042C"/>
    <w:rsid w:val="00B01534"/>
    <w:rsid w:val="00B02C52"/>
    <w:rsid w:val="00B04226"/>
    <w:rsid w:val="00B04C03"/>
    <w:rsid w:val="00B04C68"/>
    <w:rsid w:val="00B0564A"/>
    <w:rsid w:val="00B05E07"/>
    <w:rsid w:val="00B05E54"/>
    <w:rsid w:val="00B060D7"/>
    <w:rsid w:val="00B0700D"/>
    <w:rsid w:val="00B079AA"/>
    <w:rsid w:val="00B101ED"/>
    <w:rsid w:val="00B11411"/>
    <w:rsid w:val="00B1182C"/>
    <w:rsid w:val="00B1215F"/>
    <w:rsid w:val="00B124B2"/>
    <w:rsid w:val="00B14E27"/>
    <w:rsid w:val="00B15A92"/>
    <w:rsid w:val="00B15E8F"/>
    <w:rsid w:val="00B16371"/>
    <w:rsid w:val="00B16890"/>
    <w:rsid w:val="00B16C44"/>
    <w:rsid w:val="00B2059F"/>
    <w:rsid w:val="00B20F9F"/>
    <w:rsid w:val="00B21948"/>
    <w:rsid w:val="00B22A3A"/>
    <w:rsid w:val="00B232E2"/>
    <w:rsid w:val="00B23548"/>
    <w:rsid w:val="00B246BA"/>
    <w:rsid w:val="00B24D59"/>
    <w:rsid w:val="00B2536A"/>
    <w:rsid w:val="00B26256"/>
    <w:rsid w:val="00B27428"/>
    <w:rsid w:val="00B27D15"/>
    <w:rsid w:val="00B27F3E"/>
    <w:rsid w:val="00B303D5"/>
    <w:rsid w:val="00B30DB8"/>
    <w:rsid w:val="00B30EBA"/>
    <w:rsid w:val="00B315CA"/>
    <w:rsid w:val="00B3250F"/>
    <w:rsid w:val="00B32F4B"/>
    <w:rsid w:val="00B33020"/>
    <w:rsid w:val="00B3331B"/>
    <w:rsid w:val="00B3394A"/>
    <w:rsid w:val="00B34E7A"/>
    <w:rsid w:val="00B35A50"/>
    <w:rsid w:val="00B3673C"/>
    <w:rsid w:val="00B372F7"/>
    <w:rsid w:val="00B37CCE"/>
    <w:rsid w:val="00B400C9"/>
    <w:rsid w:val="00B40A92"/>
    <w:rsid w:val="00B40DE5"/>
    <w:rsid w:val="00B40F94"/>
    <w:rsid w:val="00B414F1"/>
    <w:rsid w:val="00B41E36"/>
    <w:rsid w:val="00B422F0"/>
    <w:rsid w:val="00B42B70"/>
    <w:rsid w:val="00B43AC2"/>
    <w:rsid w:val="00B43CA9"/>
    <w:rsid w:val="00B43EE2"/>
    <w:rsid w:val="00B44378"/>
    <w:rsid w:val="00B4446F"/>
    <w:rsid w:val="00B44A51"/>
    <w:rsid w:val="00B45170"/>
    <w:rsid w:val="00B46ADF"/>
    <w:rsid w:val="00B46AE4"/>
    <w:rsid w:val="00B46F58"/>
    <w:rsid w:val="00B5081E"/>
    <w:rsid w:val="00B50F7B"/>
    <w:rsid w:val="00B51A41"/>
    <w:rsid w:val="00B51BEC"/>
    <w:rsid w:val="00B51DEC"/>
    <w:rsid w:val="00B532EA"/>
    <w:rsid w:val="00B53610"/>
    <w:rsid w:val="00B54561"/>
    <w:rsid w:val="00B54A5A"/>
    <w:rsid w:val="00B55CDC"/>
    <w:rsid w:val="00B55D9C"/>
    <w:rsid w:val="00B55F6E"/>
    <w:rsid w:val="00B56729"/>
    <w:rsid w:val="00B56F21"/>
    <w:rsid w:val="00B57B36"/>
    <w:rsid w:val="00B6184A"/>
    <w:rsid w:val="00B63592"/>
    <w:rsid w:val="00B63A7D"/>
    <w:rsid w:val="00B63F5A"/>
    <w:rsid w:val="00B6409F"/>
    <w:rsid w:val="00B642F5"/>
    <w:rsid w:val="00B6478C"/>
    <w:rsid w:val="00B64C35"/>
    <w:rsid w:val="00B65D93"/>
    <w:rsid w:val="00B665A7"/>
    <w:rsid w:val="00B67912"/>
    <w:rsid w:val="00B67B00"/>
    <w:rsid w:val="00B71D9E"/>
    <w:rsid w:val="00B72691"/>
    <w:rsid w:val="00B7292E"/>
    <w:rsid w:val="00B73F9B"/>
    <w:rsid w:val="00B74335"/>
    <w:rsid w:val="00B74357"/>
    <w:rsid w:val="00B7442A"/>
    <w:rsid w:val="00B75038"/>
    <w:rsid w:val="00B7528C"/>
    <w:rsid w:val="00B756EE"/>
    <w:rsid w:val="00B75C6C"/>
    <w:rsid w:val="00B76632"/>
    <w:rsid w:val="00B76E49"/>
    <w:rsid w:val="00B773A9"/>
    <w:rsid w:val="00B804D7"/>
    <w:rsid w:val="00B80AF8"/>
    <w:rsid w:val="00B81A43"/>
    <w:rsid w:val="00B81CB2"/>
    <w:rsid w:val="00B81E31"/>
    <w:rsid w:val="00B822A2"/>
    <w:rsid w:val="00B82376"/>
    <w:rsid w:val="00B82B69"/>
    <w:rsid w:val="00B82F04"/>
    <w:rsid w:val="00B830BA"/>
    <w:rsid w:val="00B831ED"/>
    <w:rsid w:val="00B83577"/>
    <w:rsid w:val="00B83B7E"/>
    <w:rsid w:val="00B83D6D"/>
    <w:rsid w:val="00B8465D"/>
    <w:rsid w:val="00B851BD"/>
    <w:rsid w:val="00B8596B"/>
    <w:rsid w:val="00B8600C"/>
    <w:rsid w:val="00B86E7D"/>
    <w:rsid w:val="00B8718F"/>
    <w:rsid w:val="00B8748D"/>
    <w:rsid w:val="00B904E4"/>
    <w:rsid w:val="00B905AA"/>
    <w:rsid w:val="00B9076D"/>
    <w:rsid w:val="00B907E3"/>
    <w:rsid w:val="00B90832"/>
    <w:rsid w:val="00B91CFE"/>
    <w:rsid w:val="00B92701"/>
    <w:rsid w:val="00B93167"/>
    <w:rsid w:val="00B93C29"/>
    <w:rsid w:val="00B94298"/>
    <w:rsid w:val="00B945E2"/>
    <w:rsid w:val="00B94AB9"/>
    <w:rsid w:val="00B95BD1"/>
    <w:rsid w:val="00B96ACE"/>
    <w:rsid w:val="00B97862"/>
    <w:rsid w:val="00B979E7"/>
    <w:rsid w:val="00BA0063"/>
    <w:rsid w:val="00BA0B1D"/>
    <w:rsid w:val="00BA1264"/>
    <w:rsid w:val="00BA190A"/>
    <w:rsid w:val="00BA2965"/>
    <w:rsid w:val="00BA2B84"/>
    <w:rsid w:val="00BA3DCC"/>
    <w:rsid w:val="00BA494D"/>
    <w:rsid w:val="00BA4AB7"/>
    <w:rsid w:val="00BA6B2A"/>
    <w:rsid w:val="00BA721C"/>
    <w:rsid w:val="00BA7226"/>
    <w:rsid w:val="00BA77A7"/>
    <w:rsid w:val="00BA7C85"/>
    <w:rsid w:val="00BB11FF"/>
    <w:rsid w:val="00BB1618"/>
    <w:rsid w:val="00BB3A72"/>
    <w:rsid w:val="00BB408F"/>
    <w:rsid w:val="00BB4722"/>
    <w:rsid w:val="00BB5776"/>
    <w:rsid w:val="00BB6435"/>
    <w:rsid w:val="00BB6920"/>
    <w:rsid w:val="00BB69D6"/>
    <w:rsid w:val="00BB6D9C"/>
    <w:rsid w:val="00BB70ED"/>
    <w:rsid w:val="00BB7225"/>
    <w:rsid w:val="00BB74B3"/>
    <w:rsid w:val="00BB7802"/>
    <w:rsid w:val="00BC0069"/>
    <w:rsid w:val="00BC1268"/>
    <w:rsid w:val="00BC2C5A"/>
    <w:rsid w:val="00BC3726"/>
    <w:rsid w:val="00BC3C68"/>
    <w:rsid w:val="00BC4122"/>
    <w:rsid w:val="00BC4EAD"/>
    <w:rsid w:val="00BC54F2"/>
    <w:rsid w:val="00BC6300"/>
    <w:rsid w:val="00BC68CB"/>
    <w:rsid w:val="00BD02CC"/>
    <w:rsid w:val="00BD1195"/>
    <w:rsid w:val="00BD123F"/>
    <w:rsid w:val="00BD182E"/>
    <w:rsid w:val="00BD1BE2"/>
    <w:rsid w:val="00BD2343"/>
    <w:rsid w:val="00BD2429"/>
    <w:rsid w:val="00BD3723"/>
    <w:rsid w:val="00BD3778"/>
    <w:rsid w:val="00BD4FB1"/>
    <w:rsid w:val="00BD5494"/>
    <w:rsid w:val="00BD5629"/>
    <w:rsid w:val="00BD5745"/>
    <w:rsid w:val="00BD5A39"/>
    <w:rsid w:val="00BD5AB7"/>
    <w:rsid w:val="00BD5BDF"/>
    <w:rsid w:val="00BD691D"/>
    <w:rsid w:val="00BD6CF2"/>
    <w:rsid w:val="00BE0015"/>
    <w:rsid w:val="00BE0074"/>
    <w:rsid w:val="00BE03C1"/>
    <w:rsid w:val="00BE1460"/>
    <w:rsid w:val="00BE1706"/>
    <w:rsid w:val="00BE19D2"/>
    <w:rsid w:val="00BE2291"/>
    <w:rsid w:val="00BE2AC4"/>
    <w:rsid w:val="00BE2CE2"/>
    <w:rsid w:val="00BE2EB0"/>
    <w:rsid w:val="00BE301F"/>
    <w:rsid w:val="00BE32A8"/>
    <w:rsid w:val="00BE59D2"/>
    <w:rsid w:val="00BE5DB3"/>
    <w:rsid w:val="00BE6EEA"/>
    <w:rsid w:val="00BE70A1"/>
    <w:rsid w:val="00BE7136"/>
    <w:rsid w:val="00BE7EE3"/>
    <w:rsid w:val="00BF04CA"/>
    <w:rsid w:val="00BF0BD1"/>
    <w:rsid w:val="00BF0DDB"/>
    <w:rsid w:val="00BF10B9"/>
    <w:rsid w:val="00BF1497"/>
    <w:rsid w:val="00BF29AB"/>
    <w:rsid w:val="00BF2B02"/>
    <w:rsid w:val="00BF3C3B"/>
    <w:rsid w:val="00BF48CF"/>
    <w:rsid w:val="00BF5D58"/>
    <w:rsid w:val="00BF6BBB"/>
    <w:rsid w:val="00C001BF"/>
    <w:rsid w:val="00C00C0F"/>
    <w:rsid w:val="00C013C5"/>
    <w:rsid w:val="00C01490"/>
    <w:rsid w:val="00C02F81"/>
    <w:rsid w:val="00C03397"/>
    <w:rsid w:val="00C03FA5"/>
    <w:rsid w:val="00C05177"/>
    <w:rsid w:val="00C06188"/>
    <w:rsid w:val="00C0759B"/>
    <w:rsid w:val="00C07637"/>
    <w:rsid w:val="00C07CC6"/>
    <w:rsid w:val="00C10918"/>
    <w:rsid w:val="00C114AA"/>
    <w:rsid w:val="00C116AF"/>
    <w:rsid w:val="00C117D5"/>
    <w:rsid w:val="00C11C00"/>
    <w:rsid w:val="00C11E26"/>
    <w:rsid w:val="00C126AC"/>
    <w:rsid w:val="00C1361F"/>
    <w:rsid w:val="00C13F56"/>
    <w:rsid w:val="00C1449F"/>
    <w:rsid w:val="00C1517E"/>
    <w:rsid w:val="00C1536B"/>
    <w:rsid w:val="00C153B4"/>
    <w:rsid w:val="00C155C8"/>
    <w:rsid w:val="00C15BCA"/>
    <w:rsid w:val="00C1726B"/>
    <w:rsid w:val="00C17592"/>
    <w:rsid w:val="00C21CAF"/>
    <w:rsid w:val="00C21EF6"/>
    <w:rsid w:val="00C223D5"/>
    <w:rsid w:val="00C225B1"/>
    <w:rsid w:val="00C22624"/>
    <w:rsid w:val="00C23198"/>
    <w:rsid w:val="00C23412"/>
    <w:rsid w:val="00C23578"/>
    <w:rsid w:val="00C2469B"/>
    <w:rsid w:val="00C25180"/>
    <w:rsid w:val="00C265B6"/>
    <w:rsid w:val="00C269A0"/>
    <w:rsid w:val="00C30AF6"/>
    <w:rsid w:val="00C30EB9"/>
    <w:rsid w:val="00C3265C"/>
    <w:rsid w:val="00C326C9"/>
    <w:rsid w:val="00C34511"/>
    <w:rsid w:val="00C34DA3"/>
    <w:rsid w:val="00C357E3"/>
    <w:rsid w:val="00C359F9"/>
    <w:rsid w:val="00C35A98"/>
    <w:rsid w:val="00C361C6"/>
    <w:rsid w:val="00C36294"/>
    <w:rsid w:val="00C36583"/>
    <w:rsid w:val="00C36A9E"/>
    <w:rsid w:val="00C36B4E"/>
    <w:rsid w:val="00C3708C"/>
    <w:rsid w:val="00C37827"/>
    <w:rsid w:val="00C41217"/>
    <w:rsid w:val="00C41932"/>
    <w:rsid w:val="00C42959"/>
    <w:rsid w:val="00C4312A"/>
    <w:rsid w:val="00C436D4"/>
    <w:rsid w:val="00C4477B"/>
    <w:rsid w:val="00C44D2A"/>
    <w:rsid w:val="00C45A9A"/>
    <w:rsid w:val="00C46B8D"/>
    <w:rsid w:val="00C47087"/>
    <w:rsid w:val="00C475F4"/>
    <w:rsid w:val="00C47DCD"/>
    <w:rsid w:val="00C50037"/>
    <w:rsid w:val="00C501AC"/>
    <w:rsid w:val="00C505C0"/>
    <w:rsid w:val="00C509BF"/>
    <w:rsid w:val="00C50E31"/>
    <w:rsid w:val="00C51051"/>
    <w:rsid w:val="00C510B9"/>
    <w:rsid w:val="00C51CCC"/>
    <w:rsid w:val="00C5242F"/>
    <w:rsid w:val="00C528E4"/>
    <w:rsid w:val="00C52B7D"/>
    <w:rsid w:val="00C532D9"/>
    <w:rsid w:val="00C53580"/>
    <w:rsid w:val="00C53C5D"/>
    <w:rsid w:val="00C574EA"/>
    <w:rsid w:val="00C60E94"/>
    <w:rsid w:val="00C61348"/>
    <w:rsid w:val="00C61411"/>
    <w:rsid w:val="00C61B4D"/>
    <w:rsid w:val="00C62BAA"/>
    <w:rsid w:val="00C62BDE"/>
    <w:rsid w:val="00C62E1A"/>
    <w:rsid w:val="00C6378A"/>
    <w:rsid w:val="00C648E4"/>
    <w:rsid w:val="00C64E6F"/>
    <w:rsid w:val="00C65547"/>
    <w:rsid w:val="00C65D53"/>
    <w:rsid w:val="00C6634E"/>
    <w:rsid w:val="00C66A16"/>
    <w:rsid w:val="00C66B62"/>
    <w:rsid w:val="00C66CD1"/>
    <w:rsid w:val="00C67239"/>
    <w:rsid w:val="00C67890"/>
    <w:rsid w:val="00C700B3"/>
    <w:rsid w:val="00C703E8"/>
    <w:rsid w:val="00C707ED"/>
    <w:rsid w:val="00C7225B"/>
    <w:rsid w:val="00C73553"/>
    <w:rsid w:val="00C7436F"/>
    <w:rsid w:val="00C74FE4"/>
    <w:rsid w:val="00C75C79"/>
    <w:rsid w:val="00C75D1F"/>
    <w:rsid w:val="00C75FBE"/>
    <w:rsid w:val="00C76378"/>
    <w:rsid w:val="00C76445"/>
    <w:rsid w:val="00C76581"/>
    <w:rsid w:val="00C76679"/>
    <w:rsid w:val="00C767B7"/>
    <w:rsid w:val="00C76FBB"/>
    <w:rsid w:val="00C7748B"/>
    <w:rsid w:val="00C77955"/>
    <w:rsid w:val="00C77E98"/>
    <w:rsid w:val="00C80105"/>
    <w:rsid w:val="00C81E2A"/>
    <w:rsid w:val="00C82400"/>
    <w:rsid w:val="00C82751"/>
    <w:rsid w:val="00C83516"/>
    <w:rsid w:val="00C842A9"/>
    <w:rsid w:val="00C844C9"/>
    <w:rsid w:val="00C8491C"/>
    <w:rsid w:val="00C84A42"/>
    <w:rsid w:val="00C8520D"/>
    <w:rsid w:val="00C852D4"/>
    <w:rsid w:val="00C8545A"/>
    <w:rsid w:val="00C854FA"/>
    <w:rsid w:val="00C866D8"/>
    <w:rsid w:val="00C86B6B"/>
    <w:rsid w:val="00C87487"/>
    <w:rsid w:val="00C87AA4"/>
    <w:rsid w:val="00C90474"/>
    <w:rsid w:val="00C90E64"/>
    <w:rsid w:val="00C90ED6"/>
    <w:rsid w:val="00C91503"/>
    <w:rsid w:val="00C91758"/>
    <w:rsid w:val="00C91F15"/>
    <w:rsid w:val="00C922AF"/>
    <w:rsid w:val="00C923AC"/>
    <w:rsid w:val="00C924C3"/>
    <w:rsid w:val="00C92E08"/>
    <w:rsid w:val="00C9370E"/>
    <w:rsid w:val="00C9376A"/>
    <w:rsid w:val="00C93CF3"/>
    <w:rsid w:val="00C94730"/>
    <w:rsid w:val="00C94EC0"/>
    <w:rsid w:val="00C96544"/>
    <w:rsid w:val="00C96C7E"/>
    <w:rsid w:val="00C96E4B"/>
    <w:rsid w:val="00C970AA"/>
    <w:rsid w:val="00C971E6"/>
    <w:rsid w:val="00C976FA"/>
    <w:rsid w:val="00C97E89"/>
    <w:rsid w:val="00CA01EB"/>
    <w:rsid w:val="00CA0826"/>
    <w:rsid w:val="00CA0B5D"/>
    <w:rsid w:val="00CA145B"/>
    <w:rsid w:val="00CA16F3"/>
    <w:rsid w:val="00CA18E3"/>
    <w:rsid w:val="00CA21BA"/>
    <w:rsid w:val="00CA2B3F"/>
    <w:rsid w:val="00CA58F3"/>
    <w:rsid w:val="00CA642A"/>
    <w:rsid w:val="00CA65F8"/>
    <w:rsid w:val="00CA6AEC"/>
    <w:rsid w:val="00CA6C90"/>
    <w:rsid w:val="00CB06D6"/>
    <w:rsid w:val="00CB1092"/>
    <w:rsid w:val="00CB124B"/>
    <w:rsid w:val="00CB129E"/>
    <w:rsid w:val="00CB217C"/>
    <w:rsid w:val="00CB2A25"/>
    <w:rsid w:val="00CB2C82"/>
    <w:rsid w:val="00CB2D15"/>
    <w:rsid w:val="00CB301E"/>
    <w:rsid w:val="00CB3449"/>
    <w:rsid w:val="00CB3AD9"/>
    <w:rsid w:val="00CB4A5E"/>
    <w:rsid w:val="00CB4CE0"/>
    <w:rsid w:val="00CB54BF"/>
    <w:rsid w:val="00CB59EC"/>
    <w:rsid w:val="00CB7268"/>
    <w:rsid w:val="00CC0E2E"/>
    <w:rsid w:val="00CC1602"/>
    <w:rsid w:val="00CC1BE0"/>
    <w:rsid w:val="00CC2234"/>
    <w:rsid w:val="00CC2843"/>
    <w:rsid w:val="00CC2E9F"/>
    <w:rsid w:val="00CC3997"/>
    <w:rsid w:val="00CC3BB7"/>
    <w:rsid w:val="00CC3F2C"/>
    <w:rsid w:val="00CC4327"/>
    <w:rsid w:val="00CC4393"/>
    <w:rsid w:val="00CC462D"/>
    <w:rsid w:val="00CC4686"/>
    <w:rsid w:val="00CC4A38"/>
    <w:rsid w:val="00CC5326"/>
    <w:rsid w:val="00CC576A"/>
    <w:rsid w:val="00CC5998"/>
    <w:rsid w:val="00CC76EB"/>
    <w:rsid w:val="00CD023B"/>
    <w:rsid w:val="00CD080A"/>
    <w:rsid w:val="00CD0BB6"/>
    <w:rsid w:val="00CD0CEA"/>
    <w:rsid w:val="00CD0D10"/>
    <w:rsid w:val="00CD0E83"/>
    <w:rsid w:val="00CD11EB"/>
    <w:rsid w:val="00CD1D48"/>
    <w:rsid w:val="00CD1DBF"/>
    <w:rsid w:val="00CD2804"/>
    <w:rsid w:val="00CD3414"/>
    <w:rsid w:val="00CD363F"/>
    <w:rsid w:val="00CD4060"/>
    <w:rsid w:val="00CD4C95"/>
    <w:rsid w:val="00CD4CF8"/>
    <w:rsid w:val="00CD6A28"/>
    <w:rsid w:val="00CD6CCE"/>
    <w:rsid w:val="00CD7718"/>
    <w:rsid w:val="00CD7F71"/>
    <w:rsid w:val="00CD7FB8"/>
    <w:rsid w:val="00CE0605"/>
    <w:rsid w:val="00CE0BD3"/>
    <w:rsid w:val="00CE2546"/>
    <w:rsid w:val="00CE2A30"/>
    <w:rsid w:val="00CE3326"/>
    <w:rsid w:val="00CE3F4E"/>
    <w:rsid w:val="00CE4B6C"/>
    <w:rsid w:val="00CE6050"/>
    <w:rsid w:val="00CE6E75"/>
    <w:rsid w:val="00CE7E3F"/>
    <w:rsid w:val="00CF02B9"/>
    <w:rsid w:val="00CF0513"/>
    <w:rsid w:val="00CF08FF"/>
    <w:rsid w:val="00CF1253"/>
    <w:rsid w:val="00CF203E"/>
    <w:rsid w:val="00CF4A0D"/>
    <w:rsid w:val="00CF743B"/>
    <w:rsid w:val="00D00B0E"/>
    <w:rsid w:val="00D02059"/>
    <w:rsid w:val="00D02188"/>
    <w:rsid w:val="00D0273D"/>
    <w:rsid w:val="00D0359B"/>
    <w:rsid w:val="00D0466F"/>
    <w:rsid w:val="00D04CA5"/>
    <w:rsid w:val="00D04DB6"/>
    <w:rsid w:val="00D05627"/>
    <w:rsid w:val="00D06B65"/>
    <w:rsid w:val="00D074DC"/>
    <w:rsid w:val="00D0759E"/>
    <w:rsid w:val="00D07E0A"/>
    <w:rsid w:val="00D100D6"/>
    <w:rsid w:val="00D101A5"/>
    <w:rsid w:val="00D10795"/>
    <w:rsid w:val="00D10FC2"/>
    <w:rsid w:val="00D131F5"/>
    <w:rsid w:val="00D13AD9"/>
    <w:rsid w:val="00D13B09"/>
    <w:rsid w:val="00D140A6"/>
    <w:rsid w:val="00D159A3"/>
    <w:rsid w:val="00D16347"/>
    <w:rsid w:val="00D167DF"/>
    <w:rsid w:val="00D16BCB"/>
    <w:rsid w:val="00D16DD1"/>
    <w:rsid w:val="00D16EAB"/>
    <w:rsid w:val="00D17B89"/>
    <w:rsid w:val="00D201E2"/>
    <w:rsid w:val="00D20F7D"/>
    <w:rsid w:val="00D20FD7"/>
    <w:rsid w:val="00D21881"/>
    <w:rsid w:val="00D23338"/>
    <w:rsid w:val="00D2399E"/>
    <w:rsid w:val="00D24154"/>
    <w:rsid w:val="00D24159"/>
    <w:rsid w:val="00D25358"/>
    <w:rsid w:val="00D25E44"/>
    <w:rsid w:val="00D26200"/>
    <w:rsid w:val="00D2740C"/>
    <w:rsid w:val="00D30E46"/>
    <w:rsid w:val="00D31B9A"/>
    <w:rsid w:val="00D32A9B"/>
    <w:rsid w:val="00D339E0"/>
    <w:rsid w:val="00D3417D"/>
    <w:rsid w:val="00D344E7"/>
    <w:rsid w:val="00D34815"/>
    <w:rsid w:val="00D35BB1"/>
    <w:rsid w:val="00D3641F"/>
    <w:rsid w:val="00D364D7"/>
    <w:rsid w:val="00D3697F"/>
    <w:rsid w:val="00D36AC6"/>
    <w:rsid w:val="00D36DB8"/>
    <w:rsid w:val="00D41796"/>
    <w:rsid w:val="00D42296"/>
    <w:rsid w:val="00D42881"/>
    <w:rsid w:val="00D42CA0"/>
    <w:rsid w:val="00D42D0A"/>
    <w:rsid w:val="00D42EFE"/>
    <w:rsid w:val="00D43700"/>
    <w:rsid w:val="00D442A5"/>
    <w:rsid w:val="00D45CD0"/>
    <w:rsid w:val="00D46231"/>
    <w:rsid w:val="00D469EE"/>
    <w:rsid w:val="00D46DFB"/>
    <w:rsid w:val="00D4707E"/>
    <w:rsid w:val="00D471B5"/>
    <w:rsid w:val="00D5055C"/>
    <w:rsid w:val="00D507A4"/>
    <w:rsid w:val="00D507DD"/>
    <w:rsid w:val="00D508B8"/>
    <w:rsid w:val="00D50D68"/>
    <w:rsid w:val="00D50EB5"/>
    <w:rsid w:val="00D50F17"/>
    <w:rsid w:val="00D51098"/>
    <w:rsid w:val="00D51F4C"/>
    <w:rsid w:val="00D5208B"/>
    <w:rsid w:val="00D52F95"/>
    <w:rsid w:val="00D5337B"/>
    <w:rsid w:val="00D53AC1"/>
    <w:rsid w:val="00D54254"/>
    <w:rsid w:val="00D542E3"/>
    <w:rsid w:val="00D54883"/>
    <w:rsid w:val="00D57199"/>
    <w:rsid w:val="00D575B4"/>
    <w:rsid w:val="00D5783C"/>
    <w:rsid w:val="00D603B4"/>
    <w:rsid w:val="00D609E0"/>
    <w:rsid w:val="00D61C5A"/>
    <w:rsid w:val="00D61CAF"/>
    <w:rsid w:val="00D632AD"/>
    <w:rsid w:val="00D6346E"/>
    <w:rsid w:val="00D64CE4"/>
    <w:rsid w:val="00D64DB6"/>
    <w:rsid w:val="00D64E53"/>
    <w:rsid w:val="00D65299"/>
    <w:rsid w:val="00D65332"/>
    <w:rsid w:val="00D6592D"/>
    <w:rsid w:val="00D66BD9"/>
    <w:rsid w:val="00D6779D"/>
    <w:rsid w:val="00D72C12"/>
    <w:rsid w:val="00D72EF6"/>
    <w:rsid w:val="00D73EBC"/>
    <w:rsid w:val="00D751B2"/>
    <w:rsid w:val="00D75484"/>
    <w:rsid w:val="00D759EA"/>
    <w:rsid w:val="00D766C2"/>
    <w:rsid w:val="00D770CB"/>
    <w:rsid w:val="00D7735B"/>
    <w:rsid w:val="00D77601"/>
    <w:rsid w:val="00D800CD"/>
    <w:rsid w:val="00D803BE"/>
    <w:rsid w:val="00D806E9"/>
    <w:rsid w:val="00D8439E"/>
    <w:rsid w:val="00D8458B"/>
    <w:rsid w:val="00D84E81"/>
    <w:rsid w:val="00D8539C"/>
    <w:rsid w:val="00D8595E"/>
    <w:rsid w:val="00D859AE"/>
    <w:rsid w:val="00D85C06"/>
    <w:rsid w:val="00D85C98"/>
    <w:rsid w:val="00D8617E"/>
    <w:rsid w:val="00D863A8"/>
    <w:rsid w:val="00D86833"/>
    <w:rsid w:val="00D869E4"/>
    <w:rsid w:val="00D870D5"/>
    <w:rsid w:val="00D87566"/>
    <w:rsid w:val="00D9123E"/>
    <w:rsid w:val="00D91499"/>
    <w:rsid w:val="00D9167B"/>
    <w:rsid w:val="00D9183F"/>
    <w:rsid w:val="00D91A35"/>
    <w:rsid w:val="00D91DC2"/>
    <w:rsid w:val="00D92143"/>
    <w:rsid w:val="00D92A4F"/>
    <w:rsid w:val="00D94C10"/>
    <w:rsid w:val="00D94CBD"/>
    <w:rsid w:val="00D95434"/>
    <w:rsid w:val="00D9593F"/>
    <w:rsid w:val="00D95B77"/>
    <w:rsid w:val="00D95BC3"/>
    <w:rsid w:val="00D95ECF"/>
    <w:rsid w:val="00D9670D"/>
    <w:rsid w:val="00D97036"/>
    <w:rsid w:val="00D97CFD"/>
    <w:rsid w:val="00DA017B"/>
    <w:rsid w:val="00DA1DA8"/>
    <w:rsid w:val="00DA249B"/>
    <w:rsid w:val="00DA26CF"/>
    <w:rsid w:val="00DA2F7D"/>
    <w:rsid w:val="00DA4C7A"/>
    <w:rsid w:val="00DA5A3E"/>
    <w:rsid w:val="00DA5AC4"/>
    <w:rsid w:val="00DA5C3D"/>
    <w:rsid w:val="00DA5D62"/>
    <w:rsid w:val="00DA66D1"/>
    <w:rsid w:val="00DA77C4"/>
    <w:rsid w:val="00DA7A89"/>
    <w:rsid w:val="00DA7D45"/>
    <w:rsid w:val="00DB054E"/>
    <w:rsid w:val="00DB0ABE"/>
    <w:rsid w:val="00DB0AC1"/>
    <w:rsid w:val="00DB0BCD"/>
    <w:rsid w:val="00DB1070"/>
    <w:rsid w:val="00DB11F0"/>
    <w:rsid w:val="00DB1C25"/>
    <w:rsid w:val="00DB3790"/>
    <w:rsid w:val="00DB3EFC"/>
    <w:rsid w:val="00DB4283"/>
    <w:rsid w:val="00DB4CD9"/>
    <w:rsid w:val="00DB4F58"/>
    <w:rsid w:val="00DB58EF"/>
    <w:rsid w:val="00DB603F"/>
    <w:rsid w:val="00DB65D3"/>
    <w:rsid w:val="00DB68FC"/>
    <w:rsid w:val="00DB6EAA"/>
    <w:rsid w:val="00DB6F5B"/>
    <w:rsid w:val="00DB729D"/>
    <w:rsid w:val="00DB758A"/>
    <w:rsid w:val="00DB7745"/>
    <w:rsid w:val="00DB7E7E"/>
    <w:rsid w:val="00DC0920"/>
    <w:rsid w:val="00DC0CB8"/>
    <w:rsid w:val="00DC15B1"/>
    <w:rsid w:val="00DC1FB3"/>
    <w:rsid w:val="00DC202F"/>
    <w:rsid w:val="00DC21A6"/>
    <w:rsid w:val="00DC237C"/>
    <w:rsid w:val="00DC24FD"/>
    <w:rsid w:val="00DC2BE7"/>
    <w:rsid w:val="00DC3096"/>
    <w:rsid w:val="00DC31AC"/>
    <w:rsid w:val="00DC3897"/>
    <w:rsid w:val="00DC3920"/>
    <w:rsid w:val="00DC3E4D"/>
    <w:rsid w:val="00DC4018"/>
    <w:rsid w:val="00DC433C"/>
    <w:rsid w:val="00DC4B08"/>
    <w:rsid w:val="00DC51B9"/>
    <w:rsid w:val="00DC57E7"/>
    <w:rsid w:val="00DC6123"/>
    <w:rsid w:val="00DC624B"/>
    <w:rsid w:val="00DC6976"/>
    <w:rsid w:val="00DD0BD6"/>
    <w:rsid w:val="00DD215B"/>
    <w:rsid w:val="00DD2982"/>
    <w:rsid w:val="00DD2DA9"/>
    <w:rsid w:val="00DD3647"/>
    <w:rsid w:val="00DD4E54"/>
    <w:rsid w:val="00DD62C8"/>
    <w:rsid w:val="00DD631A"/>
    <w:rsid w:val="00DD6CB6"/>
    <w:rsid w:val="00DD75FC"/>
    <w:rsid w:val="00DE1260"/>
    <w:rsid w:val="00DE16B7"/>
    <w:rsid w:val="00DE2A17"/>
    <w:rsid w:val="00DE2D0B"/>
    <w:rsid w:val="00DE336A"/>
    <w:rsid w:val="00DE3B83"/>
    <w:rsid w:val="00DE3EC2"/>
    <w:rsid w:val="00DE40BC"/>
    <w:rsid w:val="00DE4EB7"/>
    <w:rsid w:val="00DE5B4A"/>
    <w:rsid w:val="00DE5C48"/>
    <w:rsid w:val="00DE6412"/>
    <w:rsid w:val="00DE712D"/>
    <w:rsid w:val="00DE7A36"/>
    <w:rsid w:val="00DF009C"/>
    <w:rsid w:val="00DF0A11"/>
    <w:rsid w:val="00DF0A4B"/>
    <w:rsid w:val="00DF1088"/>
    <w:rsid w:val="00DF1659"/>
    <w:rsid w:val="00DF1DA5"/>
    <w:rsid w:val="00DF1DDF"/>
    <w:rsid w:val="00DF29E5"/>
    <w:rsid w:val="00DF2E75"/>
    <w:rsid w:val="00DF4682"/>
    <w:rsid w:val="00DF48F7"/>
    <w:rsid w:val="00DF54EC"/>
    <w:rsid w:val="00DF55CD"/>
    <w:rsid w:val="00DF58A9"/>
    <w:rsid w:val="00DF67AA"/>
    <w:rsid w:val="00DF751C"/>
    <w:rsid w:val="00E0053A"/>
    <w:rsid w:val="00E00CA0"/>
    <w:rsid w:val="00E00EFA"/>
    <w:rsid w:val="00E01757"/>
    <w:rsid w:val="00E01BB3"/>
    <w:rsid w:val="00E01D67"/>
    <w:rsid w:val="00E01EE7"/>
    <w:rsid w:val="00E02763"/>
    <w:rsid w:val="00E02D15"/>
    <w:rsid w:val="00E02FF5"/>
    <w:rsid w:val="00E02FFC"/>
    <w:rsid w:val="00E03F33"/>
    <w:rsid w:val="00E03FF8"/>
    <w:rsid w:val="00E0546B"/>
    <w:rsid w:val="00E0554B"/>
    <w:rsid w:val="00E05BB8"/>
    <w:rsid w:val="00E06D2A"/>
    <w:rsid w:val="00E07E5A"/>
    <w:rsid w:val="00E10357"/>
    <w:rsid w:val="00E1077F"/>
    <w:rsid w:val="00E11200"/>
    <w:rsid w:val="00E11C08"/>
    <w:rsid w:val="00E1220F"/>
    <w:rsid w:val="00E123BF"/>
    <w:rsid w:val="00E12FD8"/>
    <w:rsid w:val="00E13385"/>
    <w:rsid w:val="00E13794"/>
    <w:rsid w:val="00E13C29"/>
    <w:rsid w:val="00E15621"/>
    <w:rsid w:val="00E1575B"/>
    <w:rsid w:val="00E158CD"/>
    <w:rsid w:val="00E17008"/>
    <w:rsid w:val="00E1762F"/>
    <w:rsid w:val="00E2080E"/>
    <w:rsid w:val="00E20A9B"/>
    <w:rsid w:val="00E21B7A"/>
    <w:rsid w:val="00E226A8"/>
    <w:rsid w:val="00E23880"/>
    <w:rsid w:val="00E2435C"/>
    <w:rsid w:val="00E245EB"/>
    <w:rsid w:val="00E24E7C"/>
    <w:rsid w:val="00E25239"/>
    <w:rsid w:val="00E2553D"/>
    <w:rsid w:val="00E303B3"/>
    <w:rsid w:val="00E3042B"/>
    <w:rsid w:val="00E30442"/>
    <w:rsid w:val="00E306F4"/>
    <w:rsid w:val="00E3126E"/>
    <w:rsid w:val="00E327C3"/>
    <w:rsid w:val="00E3322B"/>
    <w:rsid w:val="00E338B0"/>
    <w:rsid w:val="00E33ED0"/>
    <w:rsid w:val="00E33F6C"/>
    <w:rsid w:val="00E34C53"/>
    <w:rsid w:val="00E34FF8"/>
    <w:rsid w:val="00E3525F"/>
    <w:rsid w:val="00E369A9"/>
    <w:rsid w:val="00E36D79"/>
    <w:rsid w:val="00E37199"/>
    <w:rsid w:val="00E40312"/>
    <w:rsid w:val="00E408DA"/>
    <w:rsid w:val="00E41354"/>
    <w:rsid w:val="00E42DA9"/>
    <w:rsid w:val="00E431E7"/>
    <w:rsid w:val="00E452DB"/>
    <w:rsid w:val="00E45ACA"/>
    <w:rsid w:val="00E468B6"/>
    <w:rsid w:val="00E46B60"/>
    <w:rsid w:val="00E50C8B"/>
    <w:rsid w:val="00E50E6E"/>
    <w:rsid w:val="00E518A8"/>
    <w:rsid w:val="00E52107"/>
    <w:rsid w:val="00E52F25"/>
    <w:rsid w:val="00E52F2F"/>
    <w:rsid w:val="00E53D3D"/>
    <w:rsid w:val="00E550B4"/>
    <w:rsid w:val="00E57118"/>
    <w:rsid w:val="00E60310"/>
    <w:rsid w:val="00E612EE"/>
    <w:rsid w:val="00E62D62"/>
    <w:rsid w:val="00E62DEC"/>
    <w:rsid w:val="00E63026"/>
    <w:rsid w:val="00E6415B"/>
    <w:rsid w:val="00E648AE"/>
    <w:rsid w:val="00E6583B"/>
    <w:rsid w:val="00E67489"/>
    <w:rsid w:val="00E67611"/>
    <w:rsid w:val="00E7030F"/>
    <w:rsid w:val="00E70932"/>
    <w:rsid w:val="00E709DD"/>
    <w:rsid w:val="00E7108F"/>
    <w:rsid w:val="00E71687"/>
    <w:rsid w:val="00E72508"/>
    <w:rsid w:val="00E72A8F"/>
    <w:rsid w:val="00E74B3D"/>
    <w:rsid w:val="00E750E0"/>
    <w:rsid w:val="00E756D4"/>
    <w:rsid w:val="00E7648A"/>
    <w:rsid w:val="00E76C55"/>
    <w:rsid w:val="00E779D1"/>
    <w:rsid w:val="00E807EB"/>
    <w:rsid w:val="00E80CF9"/>
    <w:rsid w:val="00E8117E"/>
    <w:rsid w:val="00E811F9"/>
    <w:rsid w:val="00E81FF7"/>
    <w:rsid w:val="00E82C4F"/>
    <w:rsid w:val="00E8304B"/>
    <w:rsid w:val="00E8531B"/>
    <w:rsid w:val="00E856F7"/>
    <w:rsid w:val="00E8648E"/>
    <w:rsid w:val="00E8727E"/>
    <w:rsid w:val="00E90B78"/>
    <w:rsid w:val="00E90D08"/>
    <w:rsid w:val="00E911F1"/>
    <w:rsid w:val="00E916AF"/>
    <w:rsid w:val="00E9182D"/>
    <w:rsid w:val="00E92347"/>
    <w:rsid w:val="00E92BEF"/>
    <w:rsid w:val="00E92D0F"/>
    <w:rsid w:val="00E93C95"/>
    <w:rsid w:val="00E940AB"/>
    <w:rsid w:val="00E943F5"/>
    <w:rsid w:val="00E94782"/>
    <w:rsid w:val="00E94820"/>
    <w:rsid w:val="00E94834"/>
    <w:rsid w:val="00E96433"/>
    <w:rsid w:val="00E97A61"/>
    <w:rsid w:val="00EA024B"/>
    <w:rsid w:val="00EA0929"/>
    <w:rsid w:val="00EA1534"/>
    <w:rsid w:val="00EA29FC"/>
    <w:rsid w:val="00EA2E55"/>
    <w:rsid w:val="00EA36BF"/>
    <w:rsid w:val="00EA3B81"/>
    <w:rsid w:val="00EA3D0B"/>
    <w:rsid w:val="00EA3FC5"/>
    <w:rsid w:val="00EA42DE"/>
    <w:rsid w:val="00EA46B1"/>
    <w:rsid w:val="00EA4AB0"/>
    <w:rsid w:val="00EA5062"/>
    <w:rsid w:val="00EA6111"/>
    <w:rsid w:val="00EA716C"/>
    <w:rsid w:val="00EA7789"/>
    <w:rsid w:val="00EA7B50"/>
    <w:rsid w:val="00EB07EF"/>
    <w:rsid w:val="00EB090D"/>
    <w:rsid w:val="00EB0FDD"/>
    <w:rsid w:val="00EB11C7"/>
    <w:rsid w:val="00EB1968"/>
    <w:rsid w:val="00EB1F51"/>
    <w:rsid w:val="00EB25A8"/>
    <w:rsid w:val="00EB2747"/>
    <w:rsid w:val="00EB3939"/>
    <w:rsid w:val="00EB3B5C"/>
    <w:rsid w:val="00EB3D50"/>
    <w:rsid w:val="00EB3D78"/>
    <w:rsid w:val="00EB4B17"/>
    <w:rsid w:val="00EB4B49"/>
    <w:rsid w:val="00EB4BE3"/>
    <w:rsid w:val="00EB54FA"/>
    <w:rsid w:val="00EB5560"/>
    <w:rsid w:val="00EC0965"/>
    <w:rsid w:val="00EC0B44"/>
    <w:rsid w:val="00EC0C22"/>
    <w:rsid w:val="00EC0DD6"/>
    <w:rsid w:val="00EC0E4D"/>
    <w:rsid w:val="00EC0F41"/>
    <w:rsid w:val="00EC1A3D"/>
    <w:rsid w:val="00EC1A7F"/>
    <w:rsid w:val="00EC2174"/>
    <w:rsid w:val="00EC36A0"/>
    <w:rsid w:val="00EC3DC1"/>
    <w:rsid w:val="00EC4885"/>
    <w:rsid w:val="00EC4E82"/>
    <w:rsid w:val="00EC537F"/>
    <w:rsid w:val="00EC575F"/>
    <w:rsid w:val="00EC75BB"/>
    <w:rsid w:val="00EC7E86"/>
    <w:rsid w:val="00ED0693"/>
    <w:rsid w:val="00ED0A31"/>
    <w:rsid w:val="00ED0CE1"/>
    <w:rsid w:val="00ED0E43"/>
    <w:rsid w:val="00ED15A7"/>
    <w:rsid w:val="00ED1A4E"/>
    <w:rsid w:val="00ED212C"/>
    <w:rsid w:val="00ED2888"/>
    <w:rsid w:val="00ED2D29"/>
    <w:rsid w:val="00ED305E"/>
    <w:rsid w:val="00ED3508"/>
    <w:rsid w:val="00ED4D97"/>
    <w:rsid w:val="00ED4F9D"/>
    <w:rsid w:val="00ED50FA"/>
    <w:rsid w:val="00ED5255"/>
    <w:rsid w:val="00ED6BC8"/>
    <w:rsid w:val="00ED6CED"/>
    <w:rsid w:val="00ED758D"/>
    <w:rsid w:val="00EE077D"/>
    <w:rsid w:val="00EE0971"/>
    <w:rsid w:val="00EE1504"/>
    <w:rsid w:val="00EE1932"/>
    <w:rsid w:val="00EE2068"/>
    <w:rsid w:val="00EE34AA"/>
    <w:rsid w:val="00EE3C5D"/>
    <w:rsid w:val="00EE41BA"/>
    <w:rsid w:val="00EE4738"/>
    <w:rsid w:val="00EE51CD"/>
    <w:rsid w:val="00EE59B1"/>
    <w:rsid w:val="00EE6102"/>
    <w:rsid w:val="00EE6144"/>
    <w:rsid w:val="00EE6BD1"/>
    <w:rsid w:val="00EE6D52"/>
    <w:rsid w:val="00EE7310"/>
    <w:rsid w:val="00EE741B"/>
    <w:rsid w:val="00EE76E3"/>
    <w:rsid w:val="00EE7BFF"/>
    <w:rsid w:val="00EE7FC0"/>
    <w:rsid w:val="00EF09EA"/>
    <w:rsid w:val="00EF1417"/>
    <w:rsid w:val="00EF21B3"/>
    <w:rsid w:val="00EF22C8"/>
    <w:rsid w:val="00EF414D"/>
    <w:rsid w:val="00EF4441"/>
    <w:rsid w:val="00EF52BD"/>
    <w:rsid w:val="00EF52DC"/>
    <w:rsid w:val="00EF52F4"/>
    <w:rsid w:val="00EF5A56"/>
    <w:rsid w:val="00EF6268"/>
    <w:rsid w:val="00EF6C10"/>
    <w:rsid w:val="00EF7040"/>
    <w:rsid w:val="00EF77C5"/>
    <w:rsid w:val="00EF7E78"/>
    <w:rsid w:val="00F00CCE"/>
    <w:rsid w:val="00F01287"/>
    <w:rsid w:val="00F018B9"/>
    <w:rsid w:val="00F01933"/>
    <w:rsid w:val="00F01C88"/>
    <w:rsid w:val="00F02346"/>
    <w:rsid w:val="00F031D3"/>
    <w:rsid w:val="00F0342B"/>
    <w:rsid w:val="00F03599"/>
    <w:rsid w:val="00F03A64"/>
    <w:rsid w:val="00F0609A"/>
    <w:rsid w:val="00F06194"/>
    <w:rsid w:val="00F064A5"/>
    <w:rsid w:val="00F0764E"/>
    <w:rsid w:val="00F07E83"/>
    <w:rsid w:val="00F10607"/>
    <w:rsid w:val="00F10FE3"/>
    <w:rsid w:val="00F11D2C"/>
    <w:rsid w:val="00F12E61"/>
    <w:rsid w:val="00F13027"/>
    <w:rsid w:val="00F13373"/>
    <w:rsid w:val="00F13FAE"/>
    <w:rsid w:val="00F148E9"/>
    <w:rsid w:val="00F1525F"/>
    <w:rsid w:val="00F16D67"/>
    <w:rsid w:val="00F1703A"/>
    <w:rsid w:val="00F171BC"/>
    <w:rsid w:val="00F177FE"/>
    <w:rsid w:val="00F179A9"/>
    <w:rsid w:val="00F202C7"/>
    <w:rsid w:val="00F205C5"/>
    <w:rsid w:val="00F20A1B"/>
    <w:rsid w:val="00F20B8F"/>
    <w:rsid w:val="00F21C82"/>
    <w:rsid w:val="00F22569"/>
    <w:rsid w:val="00F233C5"/>
    <w:rsid w:val="00F23A38"/>
    <w:rsid w:val="00F241D5"/>
    <w:rsid w:val="00F246FE"/>
    <w:rsid w:val="00F252EC"/>
    <w:rsid w:val="00F26384"/>
    <w:rsid w:val="00F26A27"/>
    <w:rsid w:val="00F274E3"/>
    <w:rsid w:val="00F278AE"/>
    <w:rsid w:val="00F306BF"/>
    <w:rsid w:val="00F30949"/>
    <w:rsid w:val="00F30A4C"/>
    <w:rsid w:val="00F30CD3"/>
    <w:rsid w:val="00F31512"/>
    <w:rsid w:val="00F32C38"/>
    <w:rsid w:val="00F3339C"/>
    <w:rsid w:val="00F334E5"/>
    <w:rsid w:val="00F33721"/>
    <w:rsid w:val="00F3438E"/>
    <w:rsid w:val="00F36455"/>
    <w:rsid w:val="00F3712F"/>
    <w:rsid w:val="00F37D1A"/>
    <w:rsid w:val="00F37FA2"/>
    <w:rsid w:val="00F41E60"/>
    <w:rsid w:val="00F42AC4"/>
    <w:rsid w:val="00F44316"/>
    <w:rsid w:val="00F444A0"/>
    <w:rsid w:val="00F4492C"/>
    <w:rsid w:val="00F44FE6"/>
    <w:rsid w:val="00F451FB"/>
    <w:rsid w:val="00F45419"/>
    <w:rsid w:val="00F45F32"/>
    <w:rsid w:val="00F460D7"/>
    <w:rsid w:val="00F46C68"/>
    <w:rsid w:val="00F474F7"/>
    <w:rsid w:val="00F50294"/>
    <w:rsid w:val="00F50626"/>
    <w:rsid w:val="00F50E7E"/>
    <w:rsid w:val="00F50FE7"/>
    <w:rsid w:val="00F51CFC"/>
    <w:rsid w:val="00F5210E"/>
    <w:rsid w:val="00F5278F"/>
    <w:rsid w:val="00F530D4"/>
    <w:rsid w:val="00F534DD"/>
    <w:rsid w:val="00F53C49"/>
    <w:rsid w:val="00F53D10"/>
    <w:rsid w:val="00F542D8"/>
    <w:rsid w:val="00F5576B"/>
    <w:rsid w:val="00F56515"/>
    <w:rsid w:val="00F6011D"/>
    <w:rsid w:val="00F61ADD"/>
    <w:rsid w:val="00F63532"/>
    <w:rsid w:val="00F63829"/>
    <w:rsid w:val="00F63BBA"/>
    <w:rsid w:val="00F63C61"/>
    <w:rsid w:val="00F63C94"/>
    <w:rsid w:val="00F63D8B"/>
    <w:rsid w:val="00F64647"/>
    <w:rsid w:val="00F64ADF"/>
    <w:rsid w:val="00F64BD8"/>
    <w:rsid w:val="00F650F4"/>
    <w:rsid w:val="00F6567C"/>
    <w:rsid w:val="00F656A4"/>
    <w:rsid w:val="00F66807"/>
    <w:rsid w:val="00F67FAF"/>
    <w:rsid w:val="00F71034"/>
    <w:rsid w:val="00F714E0"/>
    <w:rsid w:val="00F71914"/>
    <w:rsid w:val="00F731E4"/>
    <w:rsid w:val="00F732BF"/>
    <w:rsid w:val="00F733A3"/>
    <w:rsid w:val="00F73766"/>
    <w:rsid w:val="00F740F8"/>
    <w:rsid w:val="00F748D0"/>
    <w:rsid w:val="00F74B77"/>
    <w:rsid w:val="00F756B6"/>
    <w:rsid w:val="00F75F7D"/>
    <w:rsid w:val="00F76BCA"/>
    <w:rsid w:val="00F77068"/>
    <w:rsid w:val="00F778CF"/>
    <w:rsid w:val="00F77ADA"/>
    <w:rsid w:val="00F80661"/>
    <w:rsid w:val="00F811CE"/>
    <w:rsid w:val="00F8134B"/>
    <w:rsid w:val="00F8237D"/>
    <w:rsid w:val="00F82F46"/>
    <w:rsid w:val="00F83354"/>
    <w:rsid w:val="00F836F3"/>
    <w:rsid w:val="00F840E3"/>
    <w:rsid w:val="00F848DD"/>
    <w:rsid w:val="00F85017"/>
    <w:rsid w:val="00F85420"/>
    <w:rsid w:val="00F8701D"/>
    <w:rsid w:val="00F872D4"/>
    <w:rsid w:val="00F879C0"/>
    <w:rsid w:val="00F87F33"/>
    <w:rsid w:val="00F87FC3"/>
    <w:rsid w:val="00F90557"/>
    <w:rsid w:val="00F90C99"/>
    <w:rsid w:val="00F90F2E"/>
    <w:rsid w:val="00F910EF"/>
    <w:rsid w:val="00F91482"/>
    <w:rsid w:val="00F91544"/>
    <w:rsid w:val="00F91BB8"/>
    <w:rsid w:val="00F927FE"/>
    <w:rsid w:val="00F93422"/>
    <w:rsid w:val="00F94CC4"/>
    <w:rsid w:val="00F94FBE"/>
    <w:rsid w:val="00F95513"/>
    <w:rsid w:val="00F95C16"/>
    <w:rsid w:val="00F96268"/>
    <w:rsid w:val="00F96A24"/>
    <w:rsid w:val="00F96F57"/>
    <w:rsid w:val="00F972AE"/>
    <w:rsid w:val="00F972FB"/>
    <w:rsid w:val="00F9732A"/>
    <w:rsid w:val="00F9746D"/>
    <w:rsid w:val="00F979C3"/>
    <w:rsid w:val="00FA00AC"/>
    <w:rsid w:val="00FA2113"/>
    <w:rsid w:val="00FA2785"/>
    <w:rsid w:val="00FA4E7B"/>
    <w:rsid w:val="00FA5C1D"/>
    <w:rsid w:val="00FA6C16"/>
    <w:rsid w:val="00FA7608"/>
    <w:rsid w:val="00FA7AE1"/>
    <w:rsid w:val="00FA7F36"/>
    <w:rsid w:val="00FB0F18"/>
    <w:rsid w:val="00FB1655"/>
    <w:rsid w:val="00FB2159"/>
    <w:rsid w:val="00FB2550"/>
    <w:rsid w:val="00FB3341"/>
    <w:rsid w:val="00FB367C"/>
    <w:rsid w:val="00FB3E61"/>
    <w:rsid w:val="00FB3F88"/>
    <w:rsid w:val="00FB42FE"/>
    <w:rsid w:val="00FB461F"/>
    <w:rsid w:val="00FB541B"/>
    <w:rsid w:val="00FB5593"/>
    <w:rsid w:val="00FB5975"/>
    <w:rsid w:val="00FB78D3"/>
    <w:rsid w:val="00FC04EA"/>
    <w:rsid w:val="00FC2C80"/>
    <w:rsid w:val="00FC3597"/>
    <w:rsid w:val="00FC39DB"/>
    <w:rsid w:val="00FC5800"/>
    <w:rsid w:val="00FC591A"/>
    <w:rsid w:val="00FC5B1C"/>
    <w:rsid w:val="00FC6E82"/>
    <w:rsid w:val="00FC7C69"/>
    <w:rsid w:val="00FC7C8E"/>
    <w:rsid w:val="00FD017E"/>
    <w:rsid w:val="00FD0866"/>
    <w:rsid w:val="00FD14F7"/>
    <w:rsid w:val="00FD1E3B"/>
    <w:rsid w:val="00FD1F31"/>
    <w:rsid w:val="00FD2C86"/>
    <w:rsid w:val="00FD3511"/>
    <w:rsid w:val="00FD3A83"/>
    <w:rsid w:val="00FD3E7B"/>
    <w:rsid w:val="00FD4BD9"/>
    <w:rsid w:val="00FD56F4"/>
    <w:rsid w:val="00FD5990"/>
    <w:rsid w:val="00FD5CB7"/>
    <w:rsid w:val="00FD65A8"/>
    <w:rsid w:val="00FD6701"/>
    <w:rsid w:val="00FD67BF"/>
    <w:rsid w:val="00FD67F7"/>
    <w:rsid w:val="00FD6AD3"/>
    <w:rsid w:val="00FD7724"/>
    <w:rsid w:val="00FD78DC"/>
    <w:rsid w:val="00FE04B2"/>
    <w:rsid w:val="00FE0761"/>
    <w:rsid w:val="00FE21E0"/>
    <w:rsid w:val="00FE2D9B"/>
    <w:rsid w:val="00FE3454"/>
    <w:rsid w:val="00FE3466"/>
    <w:rsid w:val="00FE3618"/>
    <w:rsid w:val="00FE4860"/>
    <w:rsid w:val="00FE4CD1"/>
    <w:rsid w:val="00FE67B9"/>
    <w:rsid w:val="00FE67E6"/>
    <w:rsid w:val="00FE6B09"/>
    <w:rsid w:val="00FE6D6F"/>
    <w:rsid w:val="00FF0191"/>
    <w:rsid w:val="00FF24B9"/>
    <w:rsid w:val="00FF252C"/>
    <w:rsid w:val="00FF2968"/>
    <w:rsid w:val="00FF2CCA"/>
    <w:rsid w:val="00FF3370"/>
    <w:rsid w:val="00FF3B6D"/>
    <w:rsid w:val="00FF43DB"/>
    <w:rsid w:val="00FF46E1"/>
    <w:rsid w:val="00FF4A80"/>
    <w:rsid w:val="00FF5B39"/>
    <w:rsid w:val="00FF5E81"/>
    <w:rsid w:val="00FF64A6"/>
    <w:rsid w:val="00FF6590"/>
    <w:rsid w:val="00FF7EFB"/>
    <w:rsid w:val="0100C0E0"/>
    <w:rsid w:val="015A021A"/>
    <w:rsid w:val="01643E1C"/>
    <w:rsid w:val="01F6A1C0"/>
    <w:rsid w:val="01FDCEE2"/>
    <w:rsid w:val="02046D68"/>
    <w:rsid w:val="02077C83"/>
    <w:rsid w:val="02171498"/>
    <w:rsid w:val="0221A1C0"/>
    <w:rsid w:val="0226C3E2"/>
    <w:rsid w:val="0230E376"/>
    <w:rsid w:val="023F3BC5"/>
    <w:rsid w:val="0248E390"/>
    <w:rsid w:val="02517ADF"/>
    <w:rsid w:val="027663D9"/>
    <w:rsid w:val="029207F1"/>
    <w:rsid w:val="03068F44"/>
    <w:rsid w:val="030DE794"/>
    <w:rsid w:val="0313963D"/>
    <w:rsid w:val="03143924"/>
    <w:rsid w:val="0362F85A"/>
    <w:rsid w:val="037B102C"/>
    <w:rsid w:val="0413F4E8"/>
    <w:rsid w:val="041E1687"/>
    <w:rsid w:val="04398370"/>
    <w:rsid w:val="0448C22F"/>
    <w:rsid w:val="044DFCD4"/>
    <w:rsid w:val="047F8147"/>
    <w:rsid w:val="0489C383"/>
    <w:rsid w:val="049673CC"/>
    <w:rsid w:val="04B0DFE3"/>
    <w:rsid w:val="04BCCE8E"/>
    <w:rsid w:val="051CDEBF"/>
    <w:rsid w:val="053C0E2A"/>
    <w:rsid w:val="056148B2"/>
    <w:rsid w:val="05768191"/>
    <w:rsid w:val="0588465F"/>
    <w:rsid w:val="05E1198D"/>
    <w:rsid w:val="05F34B70"/>
    <w:rsid w:val="05F365FB"/>
    <w:rsid w:val="063290B9"/>
    <w:rsid w:val="06498D35"/>
    <w:rsid w:val="065D36AB"/>
    <w:rsid w:val="068EBA56"/>
    <w:rsid w:val="070D1237"/>
    <w:rsid w:val="07882B65"/>
    <w:rsid w:val="07BBC76D"/>
    <w:rsid w:val="07CD2254"/>
    <w:rsid w:val="07FB76B7"/>
    <w:rsid w:val="08B87C14"/>
    <w:rsid w:val="08BCE63C"/>
    <w:rsid w:val="09763912"/>
    <w:rsid w:val="09BAA111"/>
    <w:rsid w:val="09C037A7"/>
    <w:rsid w:val="09C0F45D"/>
    <w:rsid w:val="09EDA70B"/>
    <w:rsid w:val="0A6E0DD8"/>
    <w:rsid w:val="0ADC980E"/>
    <w:rsid w:val="0AEE15F2"/>
    <w:rsid w:val="0AFDC5CE"/>
    <w:rsid w:val="0B35E4AB"/>
    <w:rsid w:val="0B52B7CB"/>
    <w:rsid w:val="0B5FD405"/>
    <w:rsid w:val="0B933518"/>
    <w:rsid w:val="0BF77F0A"/>
    <w:rsid w:val="0C0CA188"/>
    <w:rsid w:val="0C223AED"/>
    <w:rsid w:val="0C5D7B19"/>
    <w:rsid w:val="0C66B642"/>
    <w:rsid w:val="0C9301CE"/>
    <w:rsid w:val="0CA09EB1"/>
    <w:rsid w:val="0CB94551"/>
    <w:rsid w:val="0CE850F6"/>
    <w:rsid w:val="0CF1A7E9"/>
    <w:rsid w:val="0D3C80A9"/>
    <w:rsid w:val="0D475217"/>
    <w:rsid w:val="0D8FA012"/>
    <w:rsid w:val="0DE60F35"/>
    <w:rsid w:val="0E5AA608"/>
    <w:rsid w:val="0ECFA6D5"/>
    <w:rsid w:val="0EE2452B"/>
    <w:rsid w:val="0EE9DF5A"/>
    <w:rsid w:val="0F0D6D20"/>
    <w:rsid w:val="0F344695"/>
    <w:rsid w:val="0F4D93F9"/>
    <w:rsid w:val="0F7EFAA6"/>
    <w:rsid w:val="0F96916E"/>
    <w:rsid w:val="0FC7115F"/>
    <w:rsid w:val="1004F505"/>
    <w:rsid w:val="100AE1B2"/>
    <w:rsid w:val="1020E14C"/>
    <w:rsid w:val="1035E36C"/>
    <w:rsid w:val="10518DF5"/>
    <w:rsid w:val="1054345C"/>
    <w:rsid w:val="10618A9F"/>
    <w:rsid w:val="108E8821"/>
    <w:rsid w:val="10AF665D"/>
    <w:rsid w:val="10C03D1C"/>
    <w:rsid w:val="10C36849"/>
    <w:rsid w:val="10DF097B"/>
    <w:rsid w:val="10E4D567"/>
    <w:rsid w:val="111B8616"/>
    <w:rsid w:val="115C0BF3"/>
    <w:rsid w:val="118C92AC"/>
    <w:rsid w:val="118F3B2B"/>
    <w:rsid w:val="11B3F747"/>
    <w:rsid w:val="11BEBBF9"/>
    <w:rsid w:val="11CB1F65"/>
    <w:rsid w:val="11F366CE"/>
    <w:rsid w:val="123D1451"/>
    <w:rsid w:val="128BEF35"/>
    <w:rsid w:val="12BCE7BC"/>
    <w:rsid w:val="12E049D3"/>
    <w:rsid w:val="12EC1909"/>
    <w:rsid w:val="12F70760"/>
    <w:rsid w:val="1305E7F8"/>
    <w:rsid w:val="13320371"/>
    <w:rsid w:val="1378ACE5"/>
    <w:rsid w:val="13A0A960"/>
    <w:rsid w:val="13F1BCE2"/>
    <w:rsid w:val="1413871D"/>
    <w:rsid w:val="147EA478"/>
    <w:rsid w:val="148BAF74"/>
    <w:rsid w:val="14AA2486"/>
    <w:rsid w:val="14AB23F5"/>
    <w:rsid w:val="14DB49A1"/>
    <w:rsid w:val="14E0A28A"/>
    <w:rsid w:val="14F18550"/>
    <w:rsid w:val="15173ADC"/>
    <w:rsid w:val="151E56AD"/>
    <w:rsid w:val="1541F151"/>
    <w:rsid w:val="1593A8B6"/>
    <w:rsid w:val="15965660"/>
    <w:rsid w:val="162DB5E8"/>
    <w:rsid w:val="1633A420"/>
    <w:rsid w:val="16407C32"/>
    <w:rsid w:val="16422A3A"/>
    <w:rsid w:val="164DC4CC"/>
    <w:rsid w:val="167AB0CD"/>
    <w:rsid w:val="16931F85"/>
    <w:rsid w:val="16BDB8E2"/>
    <w:rsid w:val="16D757E8"/>
    <w:rsid w:val="17147412"/>
    <w:rsid w:val="17197AD4"/>
    <w:rsid w:val="1728F08E"/>
    <w:rsid w:val="173759FA"/>
    <w:rsid w:val="173B078B"/>
    <w:rsid w:val="17422810"/>
    <w:rsid w:val="175C3B71"/>
    <w:rsid w:val="178BE630"/>
    <w:rsid w:val="17AE1F5B"/>
    <w:rsid w:val="17BEC010"/>
    <w:rsid w:val="17CEC9E4"/>
    <w:rsid w:val="17F631FB"/>
    <w:rsid w:val="18292612"/>
    <w:rsid w:val="184A4B29"/>
    <w:rsid w:val="18533F61"/>
    <w:rsid w:val="186392CF"/>
    <w:rsid w:val="18700331"/>
    <w:rsid w:val="1879507C"/>
    <w:rsid w:val="18A0D1CD"/>
    <w:rsid w:val="18A693DE"/>
    <w:rsid w:val="18BA01FE"/>
    <w:rsid w:val="18D280E8"/>
    <w:rsid w:val="1951BDF2"/>
    <w:rsid w:val="19CAEF98"/>
    <w:rsid w:val="1A37C69C"/>
    <w:rsid w:val="1A46EC84"/>
    <w:rsid w:val="1A5BF05E"/>
    <w:rsid w:val="1A87AAFA"/>
    <w:rsid w:val="1A9B075D"/>
    <w:rsid w:val="1AC910BC"/>
    <w:rsid w:val="1AD0EABA"/>
    <w:rsid w:val="1AD27907"/>
    <w:rsid w:val="1AF49AE5"/>
    <w:rsid w:val="1B803F42"/>
    <w:rsid w:val="1B84B2E8"/>
    <w:rsid w:val="1BD062CF"/>
    <w:rsid w:val="1BE120FC"/>
    <w:rsid w:val="1BEA952A"/>
    <w:rsid w:val="1BF1A2C0"/>
    <w:rsid w:val="1C1F347E"/>
    <w:rsid w:val="1C2E786D"/>
    <w:rsid w:val="1CBA7B50"/>
    <w:rsid w:val="1CDEF3A2"/>
    <w:rsid w:val="1CECE74B"/>
    <w:rsid w:val="1CF71E3D"/>
    <w:rsid w:val="1D10803A"/>
    <w:rsid w:val="1D510223"/>
    <w:rsid w:val="1D6BE5B4"/>
    <w:rsid w:val="1D92818D"/>
    <w:rsid w:val="1DEE9652"/>
    <w:rsid w:val="1E0BEFB4"/>
    <w:rsid w:val="1E0DEE08"/>
    <w:rsid w:val="1E199BED"/>
    <w:rsid w:val="1E33DFC9"/>
    <w:rsid w:val="1E7F584D"/>
    <w:rsid w:val="1E82B872"/>
    <w:rsid w:val="1E8F00D3"/>
    <w:rsid w:val="1EAD306F"/>
    <w:rsid w:val="1EB486FB"/>
    <w:rsid w:val="1EB49399"/>
    <w:rsid w:val="1EBBDAA3"/>
    <w:rsid w:val="1EDBDC1B"/>
    <w:rsid w:val="1F1E7351"/>
    <w:rsid w:val="1F531F15"/>
    <w:rsid w:val="1F5E43CD"/>
    <w:rsid w:val="1F7055E0"/>
    <w:rsid w:val="1FB3A7FC"/>
    <w:rsid w:val="1FCE0945"/>
    <w:rsid w:val="20108216"/>
    <w:rsid w:val="2017305C"/>
    <w:rsid w:val="202A8E39"/>
    <w:rsid w:val="2034463F"/>
    <w:rsid w:val="205887DA"/>
    <w:rsid w:val="206D4886"/>
    <w:rsid w:val="207806FC"/>
    <w:rsid w:val="20D65732"/>
    <w:rsid w:val="20FDD2C1"/>
    <w:rsid w:val="212AA444"/>
    <w:rsid w:val="2180F31E"/>
    <w:rsid w:val="21B480B8"/>
    <w:rsid w:val="21FD8395"/>
    <w:rsid w:val="223234DE"/>
    <w:rsid w:val="225D2D0B"/>
    <w:rsid w:val="22629A4B"/>
    <w:rsid w:val="2295E48F"/>
    <w:rsid w:val="22B6DDE8"/>
    <w:rsid w:val="22C04337"/>
    <w:rsid w:val="22E82368"/>
    <w:rsid w:val="22F165D9"/>
    <w:rsid w:val="231CA094"/>
    <w:rsid w:val="23413917"/>
    <w:rsid w:val="2356C563"/>
    <w:rsid w:val="2373E1EA"/>
    <w:rsid w:val="23867BAB"/>
    <w:rsid w:val="23E0D219"/>
    <w:rsid w:val="2485567C"/>
    <w:rsid w:val="249204E1"/>
    <w:rsid w:val="249A762D"/>
    <w:rsid w:val="24E4ED3D"/>
    <w:rsid w:val="24E4FF17"/>
    <w:rsid w:val="24FFED02"/>
    <w:rsid w:val="25094AB3"/>
    <w:rsid w:val="25143B3A"/>
    <w:rsid w:val="252541A6"/>
    <w:rsid w:val="25390A3B"/>
    <w:rsid w:val="25493E41"/>
    <w:rsid w:val="25543221"/>
    <w:rsid w:val="25B27F0D"/>
    <w:rsid w:val="25B36DAE"/>
    <w:rsid w:val="25C129DF"/>
    <w:rsid w:val="25D7949E"/>
    <w:rsid w:val="260693D0"/>
    <w:rsid w:val="26363055"/>
    <w:rsid w:val="2691E6CD"/>
    <w:rsid w:val="26AE45D6"/>
    <w:rsid w:val="26D7EDDE"/>
    <w:rsid w:val="2766B317"/>
    <w:rsid w:val="27B82DD9"/>
    <w:rsid w:val="27F6F85F"/>
    <w:rsid w:val="280F86F1"/>
    <w:rsid w:val="282FB73E"/>
    <w:rsid w:val="28A6FD17"/>
    <w:rsid w:val="28C672D5"/>
    <w:rsid w:val="28E7574A"/>
    <w:rsid w:val="28F9D424"/>
    <w:rsid w:val="28FE2F98"/>
    <w:rsid w:val="290CED5A"/>
    <w:rsid w:val="29456177"/>
    <w:rsid w:val="297FCDFB"/>
    <w:rsid w:val="29C231E1"/>
    <w:rsid w:val="29D60852"/>
    <w:rsid w:val="29E0D039"/>
    <w:rsid w:val="29EF5E39"/>
    <w:rsid w:val="29F526FB"/>
    <w:rsid w:val="2A0146B6"/>
    <w:rsid w:val="2A1F8FEF"/>
    <w:rsid w:val="2A479223"/>
    <w:rsid w:val="2A5D9E53"/>
    <w:rsid w:val="2A93B14D"/>
    <w:rsid w:val="2AA5A905"/>
    <w:rsid w:val="2AC623FE"/>
    <w:rsid w:val="2ACD28FC"/>
    <w:rsid w:val="2AD6CE86"/>
    <w:rsid w:val="2ADA416C"/>
    <w:rsid w:val="2B05A5BE"/>
    <w:rsid w:val="2B23C9DB"/>
    <w:rsid w:val="2B3647F2"/>
    <w:rsid w:val="2B40E796"/>
    <w:rsid w:val="2B45763B"/>
    <w:rsid w:val="2B5ECC40"/>
    <w:rsid w:val="2B91A75F"/>
    <w:rsid w:val="2BE7E3BA"/>
    <w:rsid w:val="2C0D0044"/>
    <w:rsid w:val="2CB5FF69"/>
    <w:rsid w:val="2CC0BF6B"/>
    <w:rsid w:val="2CCE588D"/>
    <w:rsid w:val="2CE274CE"/>
    <w:rsid w:val="2CEC340A"/>
    <w:rsid w:val="2CFAE00A"/>
    <w:rsid w:val="2D0CD14A"/>
    <w:rsid w:val="2D52761C"/>
    <w:rsid w:val="2DA0121A"/>
    <w:rsid w:val="2DA7AFD0"/>
    <w:rsid w:val="2DB011D0"/>
    <w:rsid w:val="2DF6D622"/>
    <w:rsid w:val="2E44CE07"/>
    <w:rsid w:val="2E69869C"/>
    <w:rsid w:val="2E6E4FEC"/>
    <w:rsid w:val="2EB1A6BB"/>
    <w:rsid w:val="2EC2DE40"/>
    <w:rsid w:val="2EEDA9DE"/>
    <w:rsid w:val="2EFA6EFA"/>
    <w:rsid w:val="2F28E329"/>
    <w:rsid w:val="2F8E8C00"/>
    <w:rsid w:val="2FAA5784"/>
    <w:rsid w:val="2FAA9C5F"/>
    <w:rsid w:val="2FF9FF57"/>
    <w:rsid w:val="304CD106"/>
    <w:rsid w:val="304DB4DB"/>
    <w:rsid w:val="308B9DCA"/>
    <w:rsid w:val="30B66B3D"/>
    <w:rsid w:val="30E31161"/>
    <w:rsid w:val="310E0826"/>
    <w:rsid w:val="31236BF5"/>
    <w:rsid w:val="3135F2A7"/>
    <w:rsid w:val="31862463"/>
    <w:rsid w:val="319C2099"/>
    <w:rsid w:val="31A6F92C"/>
    <w:rsid w:val="31A930BB"/>
    <w:rsid w:val="31AC14B8"/>
    <w:rsid w:val="31C22B17"/>
    <w:rsid w:val="325CF857"/>
    <w:rsid w:val="33108882"/>
    <w:rsid w:val="336652B9"/>
    <w:rsid w:val="336A218E"/>
    <w:rsid w:val="338130D7"/>
    <w:rsid w:val="33819992"/>
    <w:rsid w:val="339C01FB"/>
    <w:rsid w:val="33C06478"/>
    <w:rsid w:val="33CF7128"/>
    <w:rsid w:val="33FB8AF6"/>
    <w:rsid w:val="34148B0A"/>
    <w:rsid w:val="341B3C91"/>
    <w:rsid w:val="3446A900"/>
    <w:rsid w:val="3455933D"/>
    <w:rsid w:val="34789E67"/>
    <w:rsid w:val="348CB3A7"/>
    <w:rsid w:val="34B83CC0"/>
    <w:rsid w:val="34F71BF6"/>
    <w:rsid w:val="35038EAB"/>
    <w:rsid w:val="35287330"/>
    <w:rsid w:val="3540E3D7"/>
    <w:rsid w:val="355CE378"/>
    <w:rsid w:val="35729B86"/>
    <w:rsid w:val="3575D8DF"/>
    <w:rsid w:val="3593B06E"/>
    <w:rsid w:val="35BCF380"/>
    <w:rsid w:val="35C11434"/>
    <w:rsid w:val="36078131"/>
    <w:rsid w:val="3620B4B2"/>
    <w:rsid w:val="36F2BF67"/>
    <w:rsid w:val="377BBAEE"/>
    <w:rsid w:val="3783F612"/>
    <w:rsid w:val="37C1493D"/>
    <w:rsid w:val="3814B558"/>
    <w:rsid w:val="385064C1"/>
    <w:rsid w:val="38CB7ECF"/>
    <w:rsid w:val="38D4290B"/>
    <w:rsid w:val="38DB8FE8"/>
    <w:rsid w:val="38E6C1DA"/>
    <w:rsid w:val="396542B2"/>
    <w:rsid w:val="39A59914"/>
    <w:rsid w:val="3A37F77F"/>
    <w:rsid w:val="3A5638A0"/>
    <w:rsid w:val="3A672191"/>
    <w:rsid w:val="3AF5A434"/>
    <w:rsid w:val="3B003562"/>
    <w:rsid w:val="3B30CFE0"/>
    <w:rsid w:val="3B5FD5DA"/>
    <w:rsid w:val="3B7D20F9"/>
    <w:rsid w:val="3C806324"/>
    <w:rsid w:val="3C94D856"/>
    <w:rsid w:val="3CA6696C"/>
    <w:rsid w:val="3CB71ACB"/>
    <w:rsid w:val="3D0B2687"/>
    <w:rsid w:val="3D1B6CFA"/>
    <w:rsid w:val="3D44B554"/>
    <w:rsid w:val="3D955761"/>
    <w:rsid w:val="3D988340"/>
    <w:rsid w:val="3E348071"/>
    <w:rsid w:val="3E6E7559"/>
    <w:rsid w:val="3E759249"/>
    <w:rsid w:val="3F2A0D5E"/>
    <w:rsid w:val="3F687829"/>
    <w:rsid w:val="3F6CC077"/>
    <w:rsid w:val="3F7F0045"/>
    <w:rsid w:val="3F7F31F2"/>
    <w:rsid w:val="4001D4C2"/>
    <w:rsid w:val="400D92A5"/>
    <w:rsid w:val="4013ABA8"/>
    <w:rsid w:val="4026550D"/>
    <w:rsid w:val="403F0F31"/>
    <w:rsid w:val="406021EA"/>
    <w:rsid w:val="40BEFB84"/>
    <w:rsid w:val="40CD5232"/>
    <w:rsid w:val="40DB9F01"/>
    <w:rsid w:val="416D36ED"/>
    <w:rsid w:val="41B1BF0C"/>
    <w:rsid w:val="41CC7AF9"/>
    <w:rsid w:val="41F29AB1"/>
    <w:rsid w:val="424C7A11"/>
    <w:rsid w:val="424EFEE5"/>
    <w:rsid w:val="42500ABE"/>
    <w:rsid w:val="425564D3"/>
    <w:rsid w:val="4263E801"/>
    <w:rsid w:val="426E74D0"/>
    <w:rsid w:val="42742471"/>
    <w:rsid w:val="42923482"/>
    <w:rsid w:val="429ADADA"/>
    <w:rsid w:val="429E601B"/>
    <w:rsid w:val="42A5761F"/>
    <w:rsid w:val="42B38468"/>
    <w:rsid w:val="42CD0C82"/>
    <w:rsid w:val="42D6D102"/>
    <w:rsid w:val="42F9A441"/>
    <w:rsid w:val="43ACD39B"/>
    <w:rsid w:val="43B9A2EF"/>
    <w:rsid w:val="43BADF03"/>
    <w:rsid w:val="440A4531"/>
    <w:rsid w:val="4418A55F"/>
    <w:rsid w:val="449B9BA3"/>
    <w:rsid w:val="44AD5F0B"/>
    <w:rsid w:val="44B54CB5"/>
    <w:rsid w:val="44DE4207"/>
    <w:rsid w:val="44FE91DA"/>
    <w:rsid w:val="4524033F"/>
    <w:rsid w:val="45248BD6"/>
    <w:rsid w:val="4531531D"/>
    <w:rsid w:val="455352FB"/>
    <w:rsid w:val="459271CC"/>
    <w:rsid w:val="459BD404"/>
    <w:rsid w:val="45A3DCBB"/>
    <w:rsid w:val="46438A2C"/>
    <w:rsid w:val="46734234"/>
    <w:rsid w:val="467AFEAC"/>
    <w:rsid w:val="46939EA6"/>
    <w:rsid w:val="46A4D655"/>
    <w:rsid w:val="46DE7F18"/>
    <w:rsid w:val="472D29DF"/>
    <w:rsid w:val="4786150D"/>
    <w:rsid w:val="47E6DF74"/>
    <w:rsid w:val="480960E5"/>
    <w:rsid w:val="486A5E75"/>
    <w:rsid w:val="48901A86"/>
    <w:rsid w:val="4932A0B9"/>
    <w:rsid w:val="49527705"/>
    <w:rsid w:val="495D5941"/>
    <w:rsid w:val="4961E76F"/>
    <w:rsid w:val="498F1CB3"/>
    <w:rsid w:val="49D537ED"/>
    <w:rsid w:val="49F77462"/>
    <w:rsid w:val="4A120E89"/>
    <w:rsid w:val="4A1530D6"/>
    <w:rsid w:val="4A221404"/>
    <w:rsid w:val="4A5AF26B"/>
    <w:rsid w:val="4AA465C9"/>
    <w:rsid w:val="4AEF3E18"/>
    <w:rsid w:val="4B04EFD6"/>
    <w:rsid w:val="4B6D54A1"/>
    <w:rsid w:val="4BAA0C5F"/>
    <w:rsid w:val="4BF9131E"/>
    <w:rsid w:val="4C2107D5"/>
    <w:rsid w:val="4C34C163"/>
    <w:rsid w:val="4C3A04C9"/>
    <w:rsid w:val="4C7F7E11"/>
    <w:rsid w:val="4C8DD762"/>
    <w:rsid w:val="4C99A353"/>
    <w:rsid w:val="4C9E9314"/>
    <w:rsid w:val="4CF1B814"/>
    <w:rsid w:val="4CF9B4E2"/>
    <w:rsid w:val="4D0F239F"/>
    <w:rsid w:val="4D2AF711"/>
    <w:rsid w:val="4D446BAC"/>
    <w:rsid w:val="4D549576"/>
    <w:rsid w:val="4D639BAF"/>
    <w:rsid w:val="4D7399C9"/>
    <w:rsid w:val="4D952F71"/>
    <w:rsid w:val="4D9866F2"/>
    <w:rsid w:val="4D988870"/>
    <w:rsid w:val="4DAA89B7"/>
    <w:rsid w:val="4DD5D52A"/>
    <w:rsid w:val="4E3FFA70"/>
    <w:rsid w:val="4E756C16"/>
    <w:rsid w:val="4E8EB1C1"/>
    <w:rsid w:val="4EB6FC80"/>
    <w:rsid w:val="4EC22419"/>
    <w:rsid w:val="4F15A970"/>
    <w:rsid w:val="4F191F1A"/>
    <w:rsid w:val="4F5CD1E9"/>
    <w:rsid w:val="4F73A95C"/>
    <w:rsid w:val="4F7FE9BD"/>
    <w:rsid w:val="4FC31750"/>
    <w:rsid w:val="50111F0B"/>
    <w:rsid w:val="503819F2"/>
    <w:rsid w:val="50584F19"/>
    <w:rsid w:val="5086CA0B"/>
    <w:rsid w:val="50915588"/>
    <w:rsid w:val="50A17465"/>
    <w:rsid w:val="50ACA2A5"/>
    <w:rsid w:val="50DBB63F"/>
    <w:rsid w:val="510043C2"/>
    <w:rsid w:val="5137ECED"/>
    <w:rsid w:val="5153CB37"/>
    <w:rsid w:val="51710802"/>
    <w:rsid w:val="5195DACB"/>
    <w:rsid w:val="51EFECE5"/>
    <w:rsid w:val="522FEB6E"/>
    <w:rsid w:val="523FC456"/>
    <w:rsid w:val="52814823"/>
    <w:rsid w:val="52ED6C6A"/>
    <w:rsid w:val="53164032"/>
    <w:rsid w:val="53A91128"/>
    <w:rsid w:val="53D2EC9E"/>
    <w:rsid w:val="53DF6383"/>
    <w:rsid w:val="54012C1F"/>
    <w:rsid w:val="54065DC6"/>
    <w:rsid w:val="54460835"/>
    <w:rsid w:val="547600EA"/>
    <w:rsid w:val="548ED197"/>
    <w:rsid w:val="552BDFC9"/>
    <w:rsid w:val="552DDAF5"/>
    <w:rsid w:val="5534895D"/>
    <w:rsid w:val="5578EC2F"/>
    <w:rsid w:val="55C4C2C9"/>
    <w:rsid w:val="55CCAB58"/>
    <w:rsid w:val="55E423F5"/>
    <w:rsid w:val="55F9639B"/>
    <w:rsid w:val="55FACB85"/>
    <w:rsid w:val="560653AF"/>
    <w:rsid w:val="5606A35E"/>
    <w:rsid w:val="5645D06C"/>
    <w:rsid w:val="564D6A52"/>
    <w:rsid w:val="5664A6C8"/>
    <w:rsid w:val="56A45023"/>
    <w:rsid w:val="56A64D03"/>
    <w:rsid w:val="57C28340"/>
    <w:rsid w:val="57D65C3F"/>
    <w:rsid w:val="580BCFEF"/>
    <w:rsid w:val="581B647E"/>
    <w:rsid w:val="5844764F"/>
    <w:rsid w:val="588AC3C4"/>
    <w:rsid w:val="58B59F0C"/>
    <w:rsid w:val="58B71ACF"/>
    <w:rsid w:val="58C6DD1D"/>
    <w:rsid w:val="58C7EEE6"/>
    <w:rsid w:val="592F8D59"/>
    <w:rsid w:val="593B62F8"/>
    <w:rsid w:val="5941F736"/>
    <w:rsid w:val="5955CF9E"/>
    <w:rsid w:val="596139B9"/>
    <w:rsid w:val="59D9209A"/>
    <w:rsid w:val="59E0FF51"/>
    <w:rsid w:val="5A118B3B"/>
    <w:rsid w:val="5A13FA42"/>
    <w:rsid w:val="5A20AE28"/>
    <w:rsid w:val="5A55A813"/>
    <w:rsid w:val="5AAA3C7A"/>
    <w:rsid w:val="5AD36863"/>
    <w:rsid w:val="5AE4EABE"/>
    <w:rsid w:val="5B07DCF5"/>
    <w:rsid w:val="5B3BCEF1"/>
    <w:rsid w:val="5B5D10E5"/>
    <w:rsid w:val="5B8E32AF"/>
    <w:rsid w:val="5BAA1EF6"/>
    <w:rsid w:val="5BDCBF03"/>
    <w:rsid w:val="5C2CCAA6"/>
    <w:rsid w:val="5C2CF1D1"/>
    <w:rsid w:val="5C31CFA3"/>
    <w:rsid w:val="5C3DA15F"/>
    <w:rsid w:val="5C58496D"/>
    <w:rsid w:val="5C6000EA"/>
    <w:rsid w:val="5C8F7AAC"/>
    <w:rsid w:val="5C95F463"/>
    <w:rsid w:val="5CE4CEB8"/>
    <w:rsid w:val="5CF7DCED"/>
    <w:rsid w:val="5CFFD3E5"/>
    <w:rsid w:val="5D2EE513"/>
    <w:rsid w:val="5D327B80"/>
    <w:rsid w:val="5D6D1A54"/>
    <w:rsid w:val="5D7678AE"/>
    <w:rsid w:val="5DA38A10"/>
    <w:rsid w:val="5E0FEA92"/>
    <w:rsid w:val="5E301081"/>
    <w:rsid w:val="5E524B69"/>
    <w:rsid w:val="5E83D91A"/>
    <w:rsid w:val="5E9C939A"/>
    <w:rsid w:val="5E9D347C"/>
    <w:rsid w:val="5EAF22F0"/>
    <w:rsid w:val="5EBF261C"/>
    <w:rsid w:val="5EC3B247"/>
    <w:rsid w:val="5ED67E4A"/>
    <w:rsid w:val="5EE46253"/>
    <w:rsid w:val="5F127BAB"/>
    <w:rsid w:val="5F5304FF"/>
    <w:rsid w:val="5F9DC83C"/>
    <w:rsid w:val="5FE40335"/>
    <w:rsid w:val="6016B099"/>
    <w:rsid w:val="605A6440"/>
    <w:rsid w:val="60710CC4"/>
    <w:rsid w:val="6074252B"/>
    <w:rsid w:val="60851950"/>
    <w:rsid w:val="60EDCD9F"/>
    <w:rsid w:val="61030027"/>
    <w:rsid w:val="61162004"/>
    <w:rsid w:val="61331800"/>
    <w:rsid w:val="614403C8"/>
    <w:rsid w:val="61445DC4"/>
    <w:rsid w:val="615F35B0"/>
    <w:rsid w:val="617C7688"/>
    <w:rsid w:val="619F9926"/>
    <w:rsid w:val="61B6007D"/>
    <w:rsid w:val="61C0B0FD"/>
    <w:rsid w:val="61CD67F0"/>
    <w:rsid w:val="6202D108"/>
    <w:rsid w:val="6203228C"/>
    <w:rsid w:val="6251787D"/>
    <w:rsid w:val="62529E5D"/>
    <w:rsid w:val="6259E419"/>
    <w:rsid w:val="625D5ACB"/>
    <w:rsid w:val="62742A2D"/>
    <w:rsid w:val="62AFFA8A"/>
    <w:rsid w:val="62CFB11F"/>
    <w:rsid w:val="62D53617"/>
    <w:rsid w:val="63850E9A"/>
    <w:rsid w:val="638DEABC"/>
    <w:rsid w:val="63A33F9B"/>
    <w:rsid w:val="63A9B77A"/>
    <w:rsid w:val="63D0AA8A"/>
    <w:rsid w:val="63E7079A"/>
    <w:rsid w:val="63EF87C8"/>
    <w:rsid w:val="640386EC"/>
    <w:rsid w:val="6459B077"/>
    <w:rsid w:val="646327FE"/>
    <w:rsid w:val="646FC3B1"/>
    <w:rsid w:val="64939866"/>
    <w:rsid w:val="6495CBED"/>
    <w:rsid w:val="64AFEC74"/>
    <w:rsid w:val="64D021E3"/>
    <w:rsid w:val="6508C9E4"/>
    <w:rsid w:val="652129A6"/>
    <w:rsid w:val="6528AE4F"/>
    <w:rsid w:val="652F9BA0"/>
    <w:rsid w:val="6551D046"/>
    <w:rsid w:val="6596CAAE"/>
    <w:rsid w:val="65BDBC28"/>
    <w:rsid w:val="65CBCF3C"/>
    <w:rsid w:val="65D56BFA"/>
    <w:rsid w:val="65E5D002"/>
    <w:rsid w:val="65F81491"/>
    <w:rsid w:val="665E0395"/>
    <w:rsid w:val="6679B8C3"/>
    <w:rsid w:val="66A9CE43"/>
    <w:rsid w:val="66DE65F9"/>
    <w:rsid w:val="66F9AC40"/>
    <w:rsid w:val="670A9A07"/>
    <w:rsid w:val="670E3D81"/>
    <w:rsid w:val="672CCB60"/>
    <w:rsid w:val="67402125"/>
    <w:rsid w:val="678D2D8B"/>
    <w:rsid w:val="679B730A"/>
    <w:rsid w:val="67A1FECF"/>
    <w:rsid w:val="67A48061"/>
    <w:rsid w:val="67F4A3F8"/>
    <w:rsid w:val="68705609"/>
    <w:rsid w:val="687B3FE3"/>
    <w:rsid w:val="693738D3"/>
    <w:rsid w:val="695E5727"/>
    <w:rsid w:val="699810E5"/>
    <w:rsid w:val="69A415FD"/>
    <w:rsid w:val="69B79B70"/>
    <w:rsid w:val="69D9FFAA"/>
    <w:rsid w:val="6A2FBF64"/>
    <w:rsid w:val="6A323FD9"/>
    <w:rsid w:val="6A6CB674"/>
    <w:rsid w:val="6A760E40"/>
    <w:rsid w:val="6A912912"/>
    <w:rsid w:val="6AF42F20"/>
    <w:rsid w:val="6B5427DA"/>
    <w:rsid w:val="6B6C1A56"/>
    <w:rsid w:val="6BBDB6CB"/>
    <w:rsid w:val="6BD8F122"/>
    <w:rsid w:val="6BFBCAA0"/>
    <w:rsid w:val="6C02DA2A"/>
    <w:rsid w:val="6C1333C8"/>
    <w:rsid w:val="6C609670"/>
    <w:rsid w:val="6CA2398A"/>
    <w:rsid w:val="6D11C87E"/>
    <w:rsid w:val="6D281FCC"/>
    <w:rsid w:val="6D2AFFCC"/>
    <w:rsid w:val="6D2E829B"/>
    <w:rsid w:val="6D3881CD"/>
    <w:rsid w:val="6D45ADB5"/>
    <w:rsid w:val="6D7E749D"/>
    <w:rsid w:val="6D8E5225"/>
    <w:rsid w:val="6DA4D34E"/>
    <w:rsid w:val="6DECF9A5"/>
    <w:rsid w:val="6DF4EE16"/>
    <w:rsid w:val="6E111862"/>
    <w:rsid w:val="6E13398C"/>
    <w:rsid w:val="6E1A4659"/>
    <w:rsid w:val="6E4C23CF"/>
    <w:rsid w:val="6E5B0C92"/>
    <w:rsid w:val="6E719AFC"/>
    <w:rsid w:val="6E726D15"/>
    <w:rsid w:val="6E832C8A"/>
    <w:rsid w:val="6E8C0C8A"/>
    <w:rsid w:val="6EA5C016"/>
    <w:rsid w:val="6EA6E5B2"/>
    <w:rsid w:val="6EC20A25"/>
    <w:rsid w:val="6EC2548F"/>
    <w:rsid w:val="6ED80194"/>
    <w:rsid w:val="6EFBE281"/>
    <w:rsid w:val="6F3CF14F"/>
    <w:rsid w:val="6F4B2925"/>
    <w:rsid w:val="6F7B1BD9"/>
    <w:rsid w:val="6F8A461E"/>
    <w:rsid w:val="703C0E36"/>
    <w:rsid w:val="7063649C"/>
    <w:rsid w:val="706C1B70"/>
    <w:rsid w:val="7073024C"/>
    <w:rsid w:val="7085419E"/>
    <w:rsid w:val="70AE19CC"/>
    <w:rsid w:val="70BA2188"/>
    <w:rsid w:val="7107EF89"/>
    <w:rsid w:val="711B9F09"/>
    <w:rsid w:val="712883BA"/>
    <w:rsid w:val="713383F7"/>
    <w:rsid w:val="71481814"/>
    <w:rsid w:val="7166CECF"/>
    <w:rsid w:val="71B1ACB1"/>
    <w:rsid w:val="71CCCDF5"/>
    <w:rsid w:val="71F1B8CC"/>
    <w:rsid w:val="72079F7D"/>
    <w:rsid w:val="7221FA50"/>
    <w:rsid w:val="723E5F58"/>
    <w:rsid w:val="72901511"/>
    <w:rsid w:val="72A8FE3B"/>
    <w:rsid w:val="72B7BE9F"/>
    <w:rsid w:val="72F6A4F5"/>
    <w:rsid w:val="7313B5B1"/>
    <w:rsid w:val="7395DF5E"/>
    <w:rsid w:val="7396E889"/>
    <w:rsid w:val="73974BFF"/>
    <w:rsid w:val="73F6D0AF"/>
    <w:rsid w:val="740473B4"/>
    <w:rsid w:val="742DF8BA"/>
    <w:rsid w:val="744A4851"/>
    <w:rsid w:val="745C0953"/>
    <w:rsid w:val="7493386E"/>
    <w:rsid w:val="74CD1D50"/>
    <w:rsid w:val="750D0910"/>
    <w:rsid w:val="75A0B4B9"/>
    <w:rsid w:val="75EDC11F"/>
    <w:rsid w:val="75F5739A"/>
    <w:rsid w:val="76030E43"/>
    <w:rsid w:val="7621B161"/>
    <w:rsid w:val="763207C0"/>
    <w:rsid w:val="768D81E7"/>
    <w:rsid w:val="76AE3D97"/>
    <w:rsid w:val="77180160"/>
    <w:rsid w:val="773354C0"/>
    <w:rsid w:val="77337EBE"/>
    <w:rsid w:val="77BE1A31"/>
    <w:rsid w:val="77BE279C"/>
    <w:rsid w:val="77D41C0C"/>
    <w:rsid w:val="77E084B1"/>
    <w:rsid w:val="780434D1"/>
    <w:rsid w:val="78087C8C"/>
    <w:rsid w:val="780A27E3"/>
    <w:rsid w:val="78383346"/>
    <w:rsid w:val="786B10B6"/>
    <w:rsid w:val="789D34F2"/>
    <w:rsid w:val="78AE6AAA"/>
    <w:rsid w:val="78CB0236"/>
    <w:rsid w:val="78D8781B"/>
    <w:rsid w:val="798BFDB4"/>
    <w:rsid w:val="799BBD2A"/>
    <w:rsid w:val="79AE96D0"/>
    <w:rsid w:val="79C5553A"/>
    <w:rsid w:val="79DFED48"/>
    <w:rsid w:val="7A179581"/>
    <w:rsid w:val="7A186083"/>
    <w:rsid w:val="7A1C7B22"/>
    <w:rsid w:val="7A2D1E0D"/>
    <w:rsid w:val="7A2D75CC"/>
    <w:rsid w:val="7A98645C"/>
    <w:rsid w:val="7ACD0C78"/>
    <w:rsid w:val="7B03E8F2"/>
    <w:rsid w:val="7B139CD7"/>
    <w:rsid w:val="7B58A6E6"/>
    <w:rsid w:val="7B8F8908"/>
    <w:rsid w:val="7C2E7B6F"/>
    <w:rsid w:val="7CB2A313"/>
    <w:rsid w:val="7CD72838"/>
    <w:rsid w:val="7D2E60C1"/>
    <w:rsid w:val="7D324064"/>
    <w:rsid w:val="7D4A5599"/>
    <w:rsid w:val="7DC8C14A"/>
    <w:rsid w:val="7DD77988"/>
    <w:rsid w:val="7DDEFE15"/>
    <w:rsid w:val="7DE596BA"/>
    <w:rsid w:val="7DFB8A0E"/>
    <w:rsid w:val="7E1CBE74"/>
    <w:rsid w:val="7E2DEA1C"/>
    <w:rsid w:val="7E7943CA"/>
    <w:rsid w:val="7EEE4BA0"/>
    <w:rsid w:val="7EF3587F"/>
    <w:rsid w:val="7F2D5232"/>
    <w:rsid w:val="7F502B36"/>
    <w:rsid w:val="7F9A5F90"/>
    <w:rsid w:val="7FB05949"/>
    <w:rsid w:val="7FCD5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41"/>
    <w:pPr>
      <w:spacing w:after="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uiPriority w:val="9"/>
    <w:qFormat/>
    <w:rsid w:val="007853B0"/>
    <w:pPr>
      <w:keepNext/>
      <w:keepLines/>
      <w:spacing w:before="360" w:after="240" w:line="240" w:lineRule="auto"/>
      <w:ind w:left="720" w:hanging="72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0F4E58"/>
    <w:pPr>
      <w:keepNext/>
      <w:keepLines/>
      <w:numPr>
        <w:numId w:val="15"/>
      </w:numPr>
      <w:spacing w:before="360" w:after="240" w:line="240" w:lineRule="auto"/>
      <w:ind w:hanging="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42"/>
    <w:pPr>
      <w:tabs>
        <w:tab w:val="center" w:pos="4680"/>
        <w:tab w:val="right" w:pos="9360"/>
      </w:tabs>
      <w:spacing w:line="240" w:lineRule="auto"/>
    </w:pPr>
  </w:style>
  <w:style w:type="character" w:customStyle="1" w:styleId="HeaderChar">
    <w:name w:val="Header Char"/>
    <w:basedOn w:val="DefaultParagraphFont"/>
    <w:link w:val="Header"/>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paragraph" w:styleId="FootnoteText">
    <w:name w:val="footnote text"/>
    <w:basedOn w:val="Normal"/>
    <w:link w:val="FootnoteTextChar"/>
    <w:uiPriority w:val="99"/>
    <w:unhideWhenUsed/>
    <w:rsid w:val="003E2A6F"/>
    <w:pPr>
      <w:spacing w:after="120" w:line="240" w:lineRule="auto"/>
    </w:pPr>
    <w:rPr>
      <w:sz w:val="20"/>
      <w:szCs w:val="20"/>
    </w:rPr>
  </w:style>
  <w:style w:type="character" w:customStyle="1" w:styleId="FootnoteTextChar">
    <w:name w:val="Footnote Text Char"/>
    <w:basedOn w:val="DefaultParagraphFont"/>
    <w:link w:val="FootnoteText"/>
    <w:uiPriority w:val="99"/>
    <w:rsid w:val="00DF0A4B"/>
    <w:rPr>
      <w:rFonts w:ascii="Arial" w:eastAsia="Times New Roman" w:hAnsi="Arial" w:cs="Arial"/>
      <w:bCs/>
      <w:kern w:val="32"/>
      <w:sz w:val="20"/>
      <w:szCs w:val="20"/>
    </w:rPr>
  </w:style>
  <w:style w:type="character" w:styleId="FootnoteReference">
    <w:name w:val="footnote reference"/>
    <w:basedOn w:val="DefaultParagraphFont"/>
    <w:uiPriority w:val="99"/>
    <w:semiHidden/>
    <w:unhideWhenUsed/>
    <w:rsid w:val="00DF0A4B"/>
    <w:rPr>
      <w:vertAlign w:val="superscript"/>
    </w:rPr>
  </w:style>
  <w:style w:type="character" w:styleId="Hyperlink">
    <w:name w:val="Hyperlink"/>
    <w:basedOn w:val="DefaultParagraphFont"/>
    <w:uiPriority w:val="99"/>
    <w:unhideWhenUsed/>
    <w:rsid w:val="00267393"/>
    <w:rPr>
      <w:color w:val="0000FF" w:themeColor="hyperlink"/>
      <w:u w:val="single"/>
    </w:rPr>
  </w:style>
  <w:style w:type="paragraph" w:styleId="ListParagraph">
    <w:name w:val="List Paragraph"/>
    <w:basedOn w:val="Normal"/>
    <w:uiPriority w:val="34"/>
    <w:qFormat/>
    <w:rsid w:val="00267393"/>
    <w:pPr>
      <w:ind w:left="720"/>
      <w:contextualSpacing/>
    </w:pPr>
  </w:style>
  <w:style w:type="paragraph" w:styleId="Revision">
    <w:name w:val="Revision"/>
    <w:hidden/>
    <w:uiPriority w:val="99"/>
    <w:semiHidden/>
    <w:rsid w:val="00AB74DC"/>
    <w:pPr>
      <w:spacing w:after="0" w:line="240" w:lineRule="auto"/>
    </w:pPr>
    <w:rPr>
      <w:rFonts w:ascii="Arial" w:eastAsia="Times New Roman" w:hAnsi="Arial" w:cs="Arial"/>
      <w:bCs/>
      <w:kern w:val="32"/>
      <w:sz w:val="24"/>
      <w:szCs w:val="24"/>
    </w:rPr>
  </w:style>
  <w:style w:type="character" w:styleId="CommentReference">
    <w:name w:val="annotation reference"/>
    <w:basedOn w:val="DefaultParagraphFont"/>
    <w:uiPriority w:val="99"/>
    <w:semiHidden/>
    <w:unhideWhenUsed/>
    <w:rsid w:val="008E3FFE"/>
    <w:rPr>
      <w:sz w:val="16"/>
      <w:szCs w:val="16"/>
    </w:rPr>
  </w:style>
  <w:style w:type="paragraph" w:styleId="CommentText">
    <w:name w:val="annotation text"/>
    <w:basedOn w:val="Normal"/>
    <w:link w:val="CommentTextChar"/>
    <w:uiPriority w:val="99"/>
    <w:unhideWhenUsed/>
    <w:rsid w:val="008E3FFE"/>
    <w:pPr>
      <w:spacing w:line="240" w:lineRule="auto"/>
    </w:pPr>
    <w:rPr>
      <w:sz w:val="20"/>
      <w:szCs w:val="20"/>
    </w:rPr>
  </w:style>
  <w:style w:type="character" w:customStyle="1" w:styleId="CommentTextChar">
    <w:name w:val="Comment Text Char"/>
    <w:basedOn w:val="DefaultParagraphFont"/>
    <w:link w:val="CommentText"/>
    <w:uiPriority w:val="99"/>
    <w:rsid w:val="008E3FFE"/>
    <w:rPr>
      <w:rFonts w:ascii="Arial" w:eastAsia="Times New Roman" w:hAnsi="Arial" w:cs="Arial"/>
      <w:bCs/>
      <w:kern w:val="32"/>
      <w:sz w:val="20"/>
      <w:szCs w:val="20"/>
    </w:rPr>
  </w:style>
  <w:style w:type="paragraph" w:styleId="CommentSubject">
    <w:name w:val="annotation subject"/>
    <w:basedOn w:val="CommentText"/>
    <w:next w:val="CommentText"/>
    <w:link w:val="CommentSubjectChar"/>
    <w:uiPriority w:val="99"/>
    <w:semiHidden/>
    <w:unhideWhenUsed/>
    <w:rsid w:val="008E3FFE"/>
    <w:rPr>
      <w:b/>
    </w:rPr>
  </w:style>
  <w:style w:type="character" w:customStyle="1" w:styleId="CommentSubjectChar">
    <w:name w:val="Comment Subject Char"/>
    <w:basedOn w:val="CommentTextChar"/>
    <w:link w:val="CommentSubject"/>
    <w:uiPriority w:val="99"/>
    <w:semiHidden/>
    <w:rsid w:val="008E3FFE"/>
    <w:rPr>
      <w:rFonts w:ascii="Arial" w:eastAsia="Times New Roman" w:hAnsi="Arial" w:cs="Arial"/>
      <w:b/>
      <w:bCs/>
      <w:kern w:val="32"/>
      <w:sz w:val="20"/>
      <w:szCs w:val="20"/>
    </w:rPr>
  </w:style>
  <w:style w:type="character" w:styleId="FollowedHyperlink">
    <w:name w:val="FollowedHyperlink"/>
    <w:basedOn w:val="DefaultParagraphFont"/>
    <w:uiPriority w:val="99"/>
    <w:semiHidden/>
    <w:unhideWhenUsed/>
    <w:rsid w:val="00933DAA"/>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853B0"/>
    <w:rPr>
      <w:rFonts w:ascii="Arial" w:eastAsiaTheme="majorEastAsia" w:hAnsi="Arial" w:cstheme="majorBidi"/>
      <w:bCs/>
      <w:kern w:val="32"/>
      <w:sz w:val="24"/>
      <w:szCs w:val="32"/>
    </w:rPr>
  </w:style>
  <w:style w:type="character" w:customStyle="1" w:styleId="Heading2Char">
    <w:name w:val="Heading 2 Char"/>
    <w:basedOn w:val="DefaultParagraphFont"/>
    <w:link w:val="Heading2"/>
    <w:uiPriority w:val="9"/>
    <w:rsid w:val="000F4E58"/>
    <w:rPr>
      <w:rFonts w:ascii="Arial" w:eastAsiaTheme="majorEastAsia" w:hAnsi="Arial" w:cstheme="majorBidi"/>
      <w:bCs/>
      <w:kern w:val="32"/>
      <w:sz w:val="24"/>
      <w:szCs w:val="26"/>
    </w:rPr>
  </w:style>
  <w:style w:type="character" w:customStyle="1" w:styleId="xapple-converted-space">
    <w:name w:val="x_apple-converted-space"/>
    <w:basedOn w:val="DefaultParagraphFont"/>
    <w:rsid w:val="00001B75"/>
  </w:style>
  <w:style w:type="character" w:customStyle="1" w:styleId="UnresolvedMention1">
    <w:name w:val="Unresolved Mention1"/>
    <w:basedOn w:val="DefaultParagraphFont"/>
    <w:uiPriority w:val="99"/>
    <w:semiHidden/>
    <w:unhideWhenUsed/>
    <w:rsid w:val="004D6F4E"/>
    <w:rPr>
      <w:color w:val="605E5C"/>
      <w:shd w:val="clear" w:color="auto" w:fill="E1DFDD"/>
    </w:rPr>
  </w:style>
  <w:style w:type="character" w:customStyle="1" w:styleId="Mention1">
    <w:name w:val="Mention1"/>
    <w:basedOn w:val="DefaultParagraphFont"/>
    <w:uiPriority w:val="99"/>
    <w:unhideWhenUsed/>
    <w:rsid w:val="004D6F4E"/>
    <w:rPr>
      <w:color w:val="2B579A"/>
      <w:shd w:val="clear" w:color="auto" w:fill="E1DFDD"/>
    </w:rPr>
  </w:style>
  <w:style w:type="character" w:styleId="UnresolvedMention">
    <w:name w:val="Unresolved Mention"/>
    <w:basedOn w:val="DefaultParagraphFont"/>
    <w:uiPriority w:val="99"/>
    <w:semiHidden/>
    <w:unhideWhenUsed/>
    <w:rsid w:val="00C74FE4"/>
    <w:rPr>
      <w:color w:val="605E5C"/>
      <w:shd w:val="clear" w:color="auto" w:fill="E1DFDD"/>
    </w:rPr>
  </w:style>
  <w:style w:type="table" w:customStyle="1" w:styleId="TableGrid1">
    <w:name w:val="Table Grid1"/>
    <w:basedOn w:val="TableNormal"/>
    <w:next w:val="TableGrid"/>
    <w:uiPriority w:val="39"/>
    <w:rsid w:val="00CD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762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6465">
      <w:bodyDiv w:val="1"/>
      <w:marLeft w:val="0"/>
      <w:marRight w:val="0"/>
      <w:marTop w:val="0"/>
      <w:marBottom w:val="0"/>
      <w:divBdr>
        <w:top w:val="none" w:sz="0" w:space="0" w:color="auto"/>
        <w:left w:val="none" w:sz="0" w:space="0" w:color="auto"/>
        <w:bottom w:val="none" w:sz="0" w:space="0" w:color="auto"/>
        <w:right w:val="none" w:sz="0" w:space="0" w:color="auto"/>
      </w:divBdr>
    </w:div>
    <w:div w:id="250629759">
      <w:bodyDiv w:val="1"/>
      <w:marLeft w:val="0"/>
      <w:marRight w:val="0"/>
      <w:marTop w:val="0"/>
      <w:marBottom w:val="0"/>
      <w:divBdr>
        <w:top w:val="none" w:sz="0" w:space="0" w:color="auto"/>
        <w:left w:val="none" w:sz="0" w:space="0" w:color="auto"/>
        <w:bottom w:val="none" w:sz="0" w:space="0" w:color="auto"/>
        <w:right w:val="none" w:sz="0" w:space="0" w:color="auto"/>
      </w:divBdr>
    </w:div>
    <w:div w:id="364839853">
      <w:bodyDiv w:val="1"/>
      <w:marLeft w:val="0"/>
      <w:marRight w:val="0"/>
      <w:marTop w:val="0"/>
      <w:marBottom w:val="0"/>
      <w:divBdr>
        <w:top w:val="none" w:sz="0" w:space="0" w:color="auto"/>
        <w:left w:val="none" w:sz="0" w:space="0" w:color="auto"/>
        <w:bottom w:val="none" w:sz="0" w:space="0" w:color="auto"/>
        <w:right w:val="none" w:sz="0" w:space="0" w:color="auto"/>
      </w:divBdr>
    </w:div>
    <w:div w:id="658077347">
      <w:bodyDiv w:val="1"/>
      <w:marLeft w:val="0"/>
      <w:marRight w:val="0"/>
      <w:marTop w:val="0"/>
      <w:marBottom w:val="0"/>
      <w:divBdr>
        <w:top w:val="none" w:sz="0" w:space="0" w:color="auto"/>
        <w:left w:val="none" w:sz="0" w:space="0" w:color="auto"/>
        <w:bottom w:val="none" w:sz="0" w:space="0" w:color="auto"/>
        <w:right w:val="none" w:sz="0" w:space="0" w:color="auto"/>
      </w:divBdr>
    </w:div>
    <w:div w:id="666254547">
      <w:bodyDiv w:val="1"/>
      <w:marLeft w:val="0"/>
      <w:marRight w:val="0"/>
      <w:marTop w:val="0"/>
      <w:marBottom w:val="0"/>
      <w:divBdr>
        <w:top w:val="none" w:sz="0" w:space="0" w:color="auto"/>
        <w:left w:val="none" w:sz="0" w:space="0" w:color="auto"/>
        <w:bottom w:val="none" w:sz="0" w:space="0" w:color="auto"/>
        <w:right w:val="none" w:sz="0" w:space="0" w:color="auto"/>
      </w:divBdr>
    </w:div>
    <w:div w:id="1024091079">
      <w:bodyDiv w:val="1"/>
      <w:marLeft w:val="0"/>
      <w:marRight w:val="0"/>
      <w:marTop w:val="0"/>
      <w:marBottom w:val="0"/>
      <w:divBdr>
        <w:top w:val="none" w:sz="0" w:space="0" w:color="auto"/>
        <w:left w:val="none" w:sz="0" w:space="0" w:color="auto"/>
        <w:bottom w:val="none" w:sz="0" w:space="0" w:color="auto"/>
        <w:right w:val="none" w:sz="0" w:space="0" w:color="auto"/>
      </w:divBdr>
    </w:div>
    <w:div w:id="1124695121">
      <w:bodyDiv w:val="1"/>
      <w:marLeft w:val="0"/>
      <w:marRight w:val="0"/>
      <w:marTop w:val="0"/>
      <w:marBottom w:val="0"/>
      <w:divBdr>
        <w:top w:val="none" w:sz="0" w:space="0" w:color="auto"/>
        <w:left w:val="none" w:sz="0" w:space="0" w:color="auto"/>
        <w:bottom w:val="none" w:sz="0" w:space="0" w:color="auto"/>
        <w:right w:val="none" w:sz="0" w:space="0" w:color="auto"/>
      </w:divBdr>
    </w:div>
    <w:div w:id="1128355680">
      <w:bodyDiv w:val="1"/>
      <w:marLeft w:val="0"/>
      <w:marRight w:val="0"/>
      <w:marTop w:val="0"/>
      <w:marBottom w:val="0"/>
      <w:divBdr>
        <w:top w:val="none" w:sz="0" w:space="0" w:color="auto"/>
        <w:left w:val="none" w:sz="0" w:space="0" w:color="auto"/>
        <w:bottom w:val="none" w:sz="0" w:space="0" w:color="auto"/>
        <w:right w:val="none" w:sz="0" w:space="0" w:color="auto"/>
      </w:divBdr>
    </w:div>
    <w:div w:id="1259412573">
      <w:bodyDiv w:val="1"/>
      <w:marLeft w:val="0"/>
      <w:marRight w:val="0"/>
      <w:marTop w:val="0"/>
      <w:marBottom w:val="0"/>
      <w:divBdr>
        <w:top w:val="none" w:sz="0" w:space="0" w:color="auto"/>
        <w:left w:val="none" w:sz="0" w:space="0" w:color="auto"/>
        <w:bottom w:val="none" w:sz="0" w:space="0" w:color="auto"/>
        <w:right w:val="none" w:sz="0" w:space="0" w:color="auto"/>
      </w:divBdr>
    </w:div>
    <w:div w:id="1291478217">
      <w:bodyDiv w:val="1"/>
      <w:marLeft w:val="0"/>
      <w:marRight w:val="0"/>
      <w:marTop w:val="0"/>
      <w:marBottom w:val="0"/>
      <w:divBdr>
        <w:top w:val="none" w:sz="0" w:space="0" w:color="auto"/>
        <w:left w:val="none" w:sz="0" w:space="0" w:color="auto"/>
        <w:bottom w:val="none" w:sz="0" w:space="0" w:color="auto"/>
        <w:right w:val="none" w:sz="0" w:space="0" w:color="auto"/>
      </w:divBdr>
    </w:div>
    <w:div w:id="1308170333">
      <w:bodyDiv w:val="1"/>
      <w:marLeft w:val="0"/>
      <w:marRight w:val="0"/>
      <w:marTop w:val="0"/>
      <w:marBottom w:val="0"/>
      <w:divBdr>
        <w:top w:val="none" w:sz="0" w:space="0" w:color="auto"/>
        <w:left w:val="none" w:sz="0" w:space="0" w:color="auto"/>
        <w:bottom w:val="none" w:sz="0" w:space="0" w:color="auto"/>
        <w:right w:val="none" w:sz="0" w:space="0" w:color="auto"/>
      </w:divBdr>
    </w:div>
    <w:div w:id="1575816148">
      <w:bodyDiv w:val="1"/>
      <w:marLeft w:val="0"/>
      <w:marRight w:val="0"/>
      <w:marTop w:val="0"/>
      <w:marBottom w:val="0"/>
      <w:divBdr>
        <w:top w:val="none" w:sz="0" w:space="0" w:color="auto"/>
        <w:left w:val="none" w:sz="0" w:space="0" w:color="auto"/>
        <w:bottom w:val="none" w:sz="0" w:space="0" w:color="auto"/>
        <w:right w:val="none" w:sz="0" w:space="0" w:color="auto"/>
      </w:divBdr>
    </w:div>
    <w:div w:id="1584024693">
      <w:bodyDiv w:val="1"/>
      <w:marLeft w:val="0"/>
      <w:marRight w:val="0"/>
      <w:marTop w:val="0"/>
      <w:marBottom w:val="0"/>
      <w:divBdr>
        <w:top w:val="none" w:sz="0" w:space="0" w:color="auto"/>
        <w:left w:val="none" w:sz="0" w:space="0" w:color="auto"/>
        <w:bottom w:val="none" w:sz="0" w:space="0" w:color="auto"/>
        <w:right w:val="none" w:sz="0" w:space="0" w:color="auto"/>
      </w:divBdr>
    </w:div>
    <w:div w:id="1855875022">
      <w:bodyDiv w:val="1"/>
      <w:marLeft w:val="0"/>
      <w:marRight w:val="0"/>
      <w:marTop w:val="0"/>
      <w:marBottom w:val="0"/>
      <w:divBdr>
        <w:top w:val="none" w:sz="0" w:space="0" w:color="auto"/>
        <w:left w:val="none" w:sz="0" w:space="0" w:color="auto"/>
        <w:bottom w:val="none" w:sz="0" w:space="0" w:color="auto"/>
        <w:right w:val="none" w:sz="0" w:space="0" w:color="auto"/>
      </w:divBdr>
    </w:div>
    <w:div w:id="1883906231">
      <w:bodyDiv w:val="1"/>
      <w:marLeft w:val="0"/>
      <w:marRight w:val="0"/>
      <w:marTop w:val="0"/>
      <w:marBottom w:val="0"/>
      <w:divBdr>
        <w:top w:val="none" w:sz="0" w:space="0" w:color="auto"/>
        <w:left w:val="none" w:sz="0" w:space="0" w:color="auto"/>
        <w:bottom w:val="none" w:sz="0" w:space="0" w:color="auto"/>
        <w:right w:val="none" w:sz="0" w:space="0" w:color="auto"/>
      </w:divBdr>
    </w:div>
    <w:div w:id="19103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F554-35C2-47BB-9B45-8CBA7C1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8899</Words>
  <Characters>50730</Characters>
  <Application>Microsoft Office Word</Application>
  <DocSecurity>0</DocSecurity>
  <Lines>422</Lines>
  <Paragraphs>119</Paragraphs>
  <ScaleCrop>false</ScaleCrop>
  <Company/>
  <LinksUpToDate>false</LinksUpToDate>
  <CharactersWithSpaces>59510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2023-01-25T19:39:00Z</dcterms:created>
  <dcterms:modified xsi:type="dcterms:W3CDTF">2023-01-25T19:39:00Z</dcterms:modified>
</cp:coreProperties>
</file>